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C6AB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74A75813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52EAB575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11401A5B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633FC828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20EEA217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D13FC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3F849D43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1F0C6" w14:textId="77777777" w:rsidR="00FD0E1A" w:rsidRDefault="0000483F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42CEC92D" w14:textId="77777777" w:rsidR="00FD0E1A" w:rsidRDefault="0000483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20896BF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6E8BD73B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 Міжнародні відносини</w:t>
      </w:r>
    </w:p>
    <w:p w14:paraId="05CCD4F8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ни, суспільні комунікації та</w:t>
      </w:r>
    </w:p>
    <w:p w14:paraId="1E12DC2D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</w:t>
      </w:r>
    </w:p>
    <w:p w14:paraId="54957905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 та регіональні студії», затверджена наказом ДДУВС від 06.04.2022 № 198</w:t>
      </w:r>
    </w:p>
    <w:p w14:paraId="0550AA62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02A524DB" w14:textId="77777777" w:rsidR="00FD0E1A" w:rsidRDefault="0000483F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1483A254" w14:textId="77777777" w:rsidR="00FD0E1A" w:rsidRDefault="0000483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8F72FE9" w14:textId="77777777" w:rsidR="00FD0E1A" w:rsidRDefault="00FD0E1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5BB62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086E09" w:rsidRPr="00774AA7" w14:paraId="05928FD4" w14:textId="77777777" w:rsidTr="00617513">
        <w:tc>
          <w:tcPr>
            <w:tcW w:w="4393" w:type="dxa"/>
            <w:shd w:val="clear" w:color="auto" w:fill="auto"/>
          </w:tcPr>
          <w:p w14:paraId="5F93539F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31FBDF8B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26BB96BD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086E09" w:rsidRPr="00774AA7" w14:paraId="7024C2E2" w14:textId="77777777" w:rsidTr="00617513">
        <w:tc>
          <w:tcPr>
            <w:tcW w:w="4393" w:type="dxa"/>
            <w:shd w:val="clear" w:color="auto" w:fill="auto"/>
          </w:tcPr>
          <w:p w14:paraId="62A47036" w14:textId="77777777" w:rsidR="00086E09" w:rsidRPr="00774AA7" w:rsidRDefault="00086E09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5971AA4C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789F07EA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07FF81D7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086E09" w:rsidRPr="00774AA7" w14:paraId="34FCE715" w14:textId="77777777" w:rsidTr="00617513">
        <w:tc>
          <w:tcPr>
            <w:tcW w:w="4393" w:type="dxa"/>
            <w:shd w:val="clear" w:color="auto" w:fill="auto"/>
          </w:tcPr>
          <w:p w14:paraId="4D5557A1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5E0F9B52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7C67ED8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E09" w:rsidRPr="00774AA7" w14:paraId="7FCCE9F4" w14:textId="77777777" w:rsidTr="00617513">
        <w:tc>
          <w:tcPr>
            <w:tcW w:w="4393" w:type="dxa"/>
            <w:shd w:val="clear" w:color="auto" w:fill="auto"/>
          </w:tcPr>
          <w:p w14:paraId="6539D676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6E551CB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67FCC49" w14:textId="77777777" w:rsidR="00086E09" w:rsidRPr="00774AA7" w:rsidRDefault="00086E0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3822E2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F3202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354E64F2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Pr="00774A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 та регіональні студії»</w:t>
      </w: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Ірина </w:t>
      </w:r>
      <w:proofErr w:type="spellStart"/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1B83792C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4A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1DCC5DFC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E4D96" w14:textId="77777777" w:rsidR="00086E09" w:rsidRPr="00774AA7" w:rsidRDefault="00086E09" w:rsidP="00086E0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5334072" w14:textId="77777777" w:rsidR="00086E09" w:rsidRPr="00774AA7" w:rsidRDefault="00086E09" w:rsidP="00086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p w14:paraId="56E306A7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32A87" w14:textId="77777777" w:rsidR="00FD0E1A" w:rsidRDefault="0000483F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(англійська мова) // Робоча програма навчальної дисципліни.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69037287" w14:textId="77777777" w:rsidR="00FD0E1A" w:rsidRDefault="0000483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4D9E0D" w14:textId="77777777" w:rsidR="00FD0E1A" w:rsidRDefault="0000483F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0B53FF9" w14:textId="77777777" w:rsidR="00FD0E1A" w:rsidRDefault="0000483F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746418D5" w14:textId="77777777" w:rsidR="00FD0E1A" w:rsidRDefault="0000483F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3F199A71" w14:textId="77777777" w:rsidR="00FD0E1A" w:rsidRDefault="0000483F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5446ACA7" w14:textId="77777777" w:rsidR="00FD0E1A" w:rsidRDefault="0000483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365A6713" w14:textId="77777777" w:rsidR="00FD0E1A" w:rsidRDefault="0000483F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453106AA" w14:textId="77777777" w:rsidR="00FD0E1A" w:rsidRDefault="0000483F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04D97B88" w14:textId="77777777" w:rsidR="00FD0E1A" w:rsidRDefault="000048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2664C6BB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f6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FD0E1A" w14:paraId="30BBABF9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28C1DD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A1EB2A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C786B8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88373C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FD0E1A" w14:paraId="0998CE30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14B9F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ED645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EF0829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8C060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0E1A" w14:paraId="34E8E165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ABA77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03574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F9541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1DD108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0E1A" w14:paraId="45755E2E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1BB016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3F385F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62826E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2A1C9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0E1A" w14:paraId="06F50B3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AAF376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4ACD29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D68D2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B32B5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0E1A" w14:paraId="21C00C5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BD19ED" w14:textId="77777777" w:rsidR="00FD0E1A" w:rsidRDefault="00004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9848C0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2BDBAC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9731E0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1106E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A5A71D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8F101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29BA9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A9C9B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6A3AD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1F49F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24A42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79F4A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A6C781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06FBD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B7143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4FBBF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A9126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F3294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A40E18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D5648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A3DE66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7CB84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76657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DD3D9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5072C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0E693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A42BD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F1302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913D2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FA4A95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0C3A86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E2562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D005C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3A882" w14:textId="77777777" w:rsidR="00FD0E1A" w:rsidRDefault="00FD0E1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449F6" w14:textId="77777777" w:rsidR="00FD0E1A" w:rsidRDefault="0000483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545627D3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FD0E1A" w14:paraId="3B2FF49A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42B21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01B7713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7F997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FD0E1A" w14:paraId="26505F00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C79E86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1947B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E0BA1A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FD0E1A" w14:paraId="7885030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5937AC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B9B5ED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E1A" w14:paraId="25E38A9A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35EF9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EF2822" w14:textId="77777777" w:rsidR="00FD0E1A" w:rsidRDefault="000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0E1A" w14:paraId="376D059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48FF27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14066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C082F7" w14:textId="77777777" w:rsidR="00FD0E1A" w:rsidRDefault="00FD0E1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1A" w14:paraId="79594247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C2CBF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CD92BF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8390DD" w14:textId="77777777" w:rsidR="00FD0E1A" w:rsidRDefault="00FD0E1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1A" w14:paraId="2D3E51EA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508F62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998A87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4347B" w14:textId="77777777" w:rsidR="00FD0E1A" w:rsidRDefault="00FD0E1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1A" w14:paraId="63445F3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D941D1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ED787" w14:textId="77777777" w:rsidR="00FD0E1A" w:rsidRDefault="000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5F1F66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0E1A" w14:paraId="095FC1E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5FF5F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22CE67" w14:textId="77777777" w:rsidR="00FD0E1A" w:rsidRDefault="0000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553F07" w14:textId="77777777" w:rsidR="00FD0E1A" w:rsidRDefault="00FD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1A" w14:paraId="47FA04C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9E1335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53A7C2" w14:textId="77777777" w:rsidR="00FD0E1A" w:rsidRDefault="000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57663D" w14:textId="77777777" w:rsidR="00FD0E1A" w:rsidRDefault="00FD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1A" w14:paraId="73A0CF24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974879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C42A8B" w14:textId="77777777" w:rsidR="00FD0E1A" w:rsidRDefault="0000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E1A" w14:paraId="3DEB3366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77E34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F180E9" w14:textId="77777777" w:rsidR="00FD0E1A" w:rsidRDefault="0000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031FB836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A8F29" w14:textId="77777777" w:rsidR="00FD0E1A" w:rsidRDefault="0000483F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2B8303CC" w14:textId="77777777" w:rsidR="00FD0E1A" w:rsidRDefault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562E1" w14:textId="77777777" w:rsidR="00FD0E1A" w:rsidRDefault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F2D4E" w14:textId="77777777" w:rsidR="00FD0E1A" w:rsidRDefault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9BB76" w14:textId="77777777" w:rsidR="00FD0E1A" w:rsidRDefault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98B90" w14:textId="77777777" w:rsidR="00FD0E1A" w:rsidRDefault="00FD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BEA27" w14:textId="77777777" w:rsidR="00FD0E1A" w:rsidRDefault="0000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3042C804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00006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Метою вивчення навчальної дисципл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іни «Іноземна мова (англійська мова)» є підготовка висококваліфікованих фахівців у сфері міжнародних відносин,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необхідними для професійної діяльності, що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ситуативно-побутового спілкування </w:t>
      </w:r>
      <w:r>
        <w:rPr>
          <w:rFonts w:ascii="Times New Roman" w:eastAsia="Times New Roman" w:hAnsi="Times New Roman" w:cs="Times New Roman"/>
          <w:sz w:val="28"/>
          <w:szCs w:val="28"/>
        </w:rPr>
        <w:t>в усній та письмовій формах.</w:t>
      </w:r>
    </w:p>
    <w:p w14:paraId="540D8CFE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(англійська мова)»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міжнародних соціокультурних проблем,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26E6C990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діалогічного мовлення у межах основних комунікат</w:t>
      </w:r>
      <w:r>
        <w:rPr>
          <w:rFonts w:ascii="Times New Roman" w:eastAsia="Times New Roman" w:hAnsi="Times New Roman" w:cs="Times New Roman"/>
          <w:sz w:val="28"/>
          <w:szCs w:val="28"/>
        </w:rPr>
        <w:t>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спілкування у межах побутової тематики та ситуа</w:t>
      </w:r>
      <w:r>
        <w:rPr>
          <w:rFonts w:ascii="Times New Roman" w:eastAsia="Times New Roman" w:hAnsi="Times New Roman" w:cs="Times New Roman"/>
          <w:sz w:val="28"/>
          <w:szCs w:val="28"/>
        </w:rPr>
        <w:t>ціях професійного іншомовного спілкування</w:t>
      </w:r>
    </w:p>
    <w:p w14:paraId="7ECF5241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 вміння прогнозувати тематику тексту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інформацію, що розкриває і уточнює головн</w:t>
      </w:r>
      <w:r>
        <w:rPr>
          <w:rFonts w:ascii="Times New Roman" w:eastAsia="Times New Roman" w:hAnsi="Times New Roman" w:cs="Times New Roman"/>
          <w:sz w:val="28"/>
          <w:szCs w:val="28"/>
        </w:rPr>
        <w:t>і положення змісту тексту.</w:t>
      </w:r>
    </w:p>
    <w:p w14:paraId="7293899C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викласти на письмі зміст прочитаного 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почутого, написати повідомлення, доповідь тощо.</w:t>
      </w:r>
    </w:p>
    <w:p w14:paraId="21132B92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результат – опанування умінь і навичок іншом</w:t>
      </w:r>
      <w:r>
        <w:rPr>
          <w:rFonts w:ascii="Times New Roman" w:eastAsia="Times New Roman" w:hAnsi="Times New Roman" w:cs="Times New Roman"/>
          <w:sz w:val="28"/>
          <w:szCs w:val="28"/>
        </w:rPr>
        <w:t>овного спілкування на загально-побутову та професійну тематику.</w:t>
      </w:r>
    </w:p>
    <w:p w14:paraId="777B4A4A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4FDDF94F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міжнародних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 недержавними акторами,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11B2326E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7C455A8F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 – здатність до </w:t>
      </w:r>
      <w:r>
        <w:rPr>
          <w:rFonts w:ascii="Times New Roman" w:eastAsia="Times New Roman" w:hAnsi="Times New Roman" w:cs="Times New Roman"/>
          <w:sz w:val="28"/>
          <w:szCs w:val="28"/>
        </w:rPr>
        <w:t>абстрактного мислення, аналізу та синтезу;</w:t>
      </w:r>
    </w:p>
    <w:p w14:paraId="0BB00D6C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7BFFAA3E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1A330DB4" w14:textId="77777777" w:rsidR="00FD0E1A" w:rsidRDefault="0000483F">
      <w:pPr>
        <w:spacing w:before="240" w:after="240" w:line="29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ЗК11– здатність спілкуватися іноземною мовою;</w:t>
      </w:r>
    </w:p>
    <w:p w14:paraId="33A16B90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52A83D7E" w14:textId="77777777" w:rsidR="00FD0E1A" w:rsidRDefault="0000483F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1B4BDDDF" w14:textId="77777777" w:rsidR="00FD0E1A" w:rsidRDefault="0000483F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розуміння її правової природи;</w:t>
      </w:r>
    </w:p>
    <w:p w14:paraId="488B7859" w14:textId="77777777" w:rsidR="00FD0E1A" w:rsidRDefault="0000483F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СК8 – усвідомлення національних інтересів України на міжнародній арені;</w:t>
      </w:r>
    </w:p>
    <w:p w14:paraId="2994BAFC" w14:textId="77777777" w:rsidR="00FD0E1A" w:rsidRDefault="0000483F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СК12 – здатність до здійснення комунікації та інформаційно-аналітичної діяльності у сфері міжнародних відносин (українською та іноземними мовами).</w:t>
      </w:r>
    </w:p>
    <w:p w14:paraId="49D6286B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B1+.</w:t>
      </w:r>
    </w:p>
    <w:p w14:paraId="37D966AA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ьтати навчання дисципліни «Практикум з іноземної мови» («Іноземна мова»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«Практичний курс галузевого перекладу»).</w:t>
      </w:r>
    </w:p>
    <w:p w14:paraId="2A4460C6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415DAE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12B39635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ведення п</w:t>
      </w:r>
      <w:r>
        <w:rPr>
          <w:rFonts w:ascii="Times New Roman" w:eastAsia="Times New Roman" w:hAnsi="Times New Roman" w:cs="Times New Roman"/>
          <w:sz w:val="28"/>
          <w:szCs w:val="28"/>
        </w:rPr>
        <w:t>рофесійної дискусії, підготовки аналітичних та дослідницьких документів;</w:t>
      </w:r>
    </w:p>
    <w:p w14:paraId="0E96395D" w14:textId="77777777" w:rsidR="00FD0E1A" w:rsidRDefault="000048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РН12 –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проектів.</w:t>
      </w:r>
    </w:p>
    <w:p w14:paraId="34234A8D" w14:textId="77777777" w:rsidR="00FD0E1A" w:rsidRDefault="00FD0E1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FCBAE" w14:textId="77777777" w:rsidR="00FD0E1A" w:rsidRDefault="0000483F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32659E7D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DF7CD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Personally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985DE0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560B27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F6BA86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</w:p>
    <w:p w14:paraId="3D5E7AF9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A0898E" w14:textId="77777777" w:rsidR="00FD0E1A" w:rsidRDefault="00FD0E1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A0A63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Quality</w:t>
      </w:r>
      <w:proofErr w:type="spellEnd"/>
    </w:p>
    <w:p w14:paraId="12FD7745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</w:t>
      </w:r>
      <w:r>
        <w:rPr>
          <w:rFonts w:ascii="Times New Roman" w:eastAsia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55CD9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 </w:t>
      </w:r>
    </w:p>
    <w:p w14:paraId="3457AEF3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 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22DF6A02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F29E5F" w14:textId="77777777" w:rsidR="00FD0E1A" w:rsidRDefault="00FD0E1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2A5F0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5.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Technology</w:t>
      </w:r>
      <w:proofErr w:type="spellEnd"/>
    </w:p>
    <w:p w14:paraId="6594B2BD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conversation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99F29A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FCADAC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</w:p>
    <w:p w14:paraId="289F9460" w14:textId="77777777" w:rsidR="00FD0E1A" w:rsidRDefault="0000483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Multiple-choice,identifying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BE824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D56893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42198B6C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674AA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B69412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affairs</w:t>
      </w:r>
      <w:proofErr w:type="spellEnd"/>
    </w:p>
    <w:p w14:paraId="725B491B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persuading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convincing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prepositions,gapped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109775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8F26B8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9.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4CD11B2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CC3FC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2679129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</w:p>
    <w:p w14:paraId="7A389A0C" w14:textId="77777777" w:rsidR="00FD0E1A" w:rsidRDefault="0000483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</w:t>
      </w:r>
      <w:r>
        <w:rPr>
          <w:rFonts w:ascii="Times New Roman" w:eastAsia="Times New Roman" w:hAnsi="Times New Roman" w:cs="Times New Roman"/>
          <w:sz w:val="28"/>
          <w:szCs w:val="28"/>
        </w:rPr>
        <w:t>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ABB7D" w14:textId="77777777" w:rsidR="00FD0E1A" w:rsidRDefault="00FD0E1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79170" w14:textId="77777777" w:rsidR="00FD0E1A" w:rsidRDefault="0000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51134629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6B776FE1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600BF489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117E4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35EE63CA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70DAF" w14:textId="77777777" w:rsidR="00FD0E1A" w:rsidRDefault="000048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певний період навчання (навчальний семестр, навчальний рік). </w:t>
      </w:r>
    </w:p>
    <w:p w14:paraId="1354A920" w14:textId="77777777" w:rsidR="00FD0E1A" w:rsidRDefault="000048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 (англійська мова)» передбачено:</w:t>
      </w:r>
    </w:p>
    <w:p w14:paraId="31E8ED18" w14:textId="77777777" w:rsidR="00FD0E1A" w:rsidRDefault="000048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4FDC7B99" w14:textId="77777777" w:rsidR="00FD0E1A" w:rsidRDefault="000048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залік.</w:t>
      </w:r>
    </w:p>
    <w:p w14:paraId="587E7A2B" w14:textId="77777777" w:rsidR="00FD0E1A" w:rsidRDefault="00FD0E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19872" w14:textId="77777777" w:rsidR="00FD0E1A" w:rsidRDefault="0000483F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2EE1F235" w14:textId="77777777" w:rsidR="00FD0E1A" w:rsidRDefault="0000483F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2D1595D9" w14:textId="77777777" w:rsidR="00FD0E1A" w:rsidRDefault="0000483F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30228152" w14:textId="77777777" w:rsidR="00FD0E1A" w:rsidRDefault="0000483F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36C7F850" w14:textId="77777777" w:rsidR="00FD0E1A" w:rsidRDefault="0000483F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індивідуальної роботи (15 балів) – на підставі виконання та захисту відповідних індивідуальних завдань;</w:t>
      </w:r>
    </w:p>
    <w:p w14:paraId="308DE084" w14:textId="77777777" w:rsidR="00FD0E1A" w:rsidRDefault="0000483F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4DEAFE6B" w14:textId="77777777" w:rsidR="00FD0E1A" w:rsidRDefault="0000483F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4B2F403D" w14:textId="77777777" w:rsidR="00FD0E1A" w:rsidRDefault="00FD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0372E" w14:textId="77777777" w:rsidR="00FD0E1A" w:rsidRDefault="0000483F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F11C370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478396E6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8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FD0E1A" w14:paraId="7DCFE2B8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40CF0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2C803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FD0E1A" w14:paraId="2953B2D9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399F90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B0E62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D0E1A" w14:paraId="05B7C554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01023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BF4B47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D0E1A" w14:paraId="0E3CD25D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19D58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213D63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D0E1A" w14:paraId="64E5762F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EF3A1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B54A05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D0E1A" w14:paraId="71F90714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F3D72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179C4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FD0E1A" w14:paraId="00179032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9170EA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A5BB84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23038E74" w14:textId="77777777" w:rsidR="00FD0E1A" w:rsidRDefault="0000483F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навчальної дисципліни «Іноземна мова (англійська мова)» засобами діагностики знань (успішності навчання) виступають: </w:t>
      </w:r>
    </w:p>
    <w:p w14:paraId="5A7CCC23" w14:textId="77777777" w:rsidR="00FD0E1A" w:rsidRDefault="00004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00B03396" w14:textId="77777777" w:rsidR="00FD0E1A" w:rsidRDefault="00004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02B79EF1" w14:textId="77777777" w:rsidR="00FD0E1A" w:rsidRDefault="00004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есе, особистого листа чи резюме,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поза-аудиторне читання та його захист; </w:t>
      </w:r>
    </w:p>
    <w:p w14:paraId="595945CA" w14:textId="77777777" w:rsidR="00FD0E1A" w:rsidRDefault="00004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50D72B3C" w14:textId="77777777" w:rsidR="00FD0E1A" w:rsidRDefault="000048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69A28E03" w14:textId="77777777" w:rsidR="00FD0E1A" w:rsidRDefault="0000483F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1C2EF48A" w14:textId="77777777" w:rsidR="00FD0E1A" w:rsidRDefault="00FD0E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817BE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4463A40C" w14:textId="77777777" w:rsidR="00FD0E1A" w:rsidRDefault="0000483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9939E6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F08B8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E3E5C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theatre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7AF5CA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33F9DC" w14:textId="77777777" w:rsidR="00FD0E1A" w:rsidRDefault="0000483F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53E98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F269C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8FCE6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ACF4E" w14:textId="77777777" w:rsidR="00FD0E1A" w:rsidRDefault="00004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FD5AE" w14:textId="77777777" w:rsidR="00FD0E1A" w:rsidRDefault="00FD0E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352EE0" w14:textId="77777777" w:rsidR="00FD0E1A" w:rsidRDefault="000048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08545033" w14:textId="77777777" w:rsidR="00FD0E1A" w:rsidRDefault="000048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25955BB7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6DEC553E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</w:t>
      </w:r>
      <w:r>
        <w:rPr>
          <w:rFonts w:ascii="Times New Roman" w:eastAsia="Times New Roman" w:hAnsi="Times New Roman" w:cs="Times New Roman"/>
          <w:sz w:val="28"/>
          <w:szCs w:val="28"/>
        </w:rPr>
        <w:t>тя питання - максимально 4 бали.</w:t>
      </w:r>
    </w:p>
    <w:p w14:paraId="1E8F1C98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7348AA70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5BF85DF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5F7F872A" w14:textId="77777777" w:rsidR="00FD0E1A" w:rsidRDefault="00FD0E1A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13737" w14:textId="77777777" w:rsidR="00FD0E1A" w:rsidRDefault="0000483F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Індивідуальні завдання</w:t>
      </w:r>
    </w:p>
    <w:p w14:paraId="24601478" w14:textId="77777777" w:rsidR="00FD0E1A" w:rsidRDefault="0000483F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14FE111E" w14:textId="77777777" w:rsidR="00FD0E1A" w:rsidRDefault="00FD0E1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E37759" w14:textId="77777777" w:rsidR="00FD0E1A" w:rsidRDefault="0000483F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3E668E2A" w14:textId="77777777" w:rsidR="00FD0E1A" w:rsidRDefault="0000483F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7F68AC68" w14:textId="77777777" w:rsidR="00FD0E1A" w:rsidRDefault="00FD0E1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B1919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57EED615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0097C32B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висновки - максимально 3 бали.</w:t>
      </w:r>
    </w:p>
    <w:p w14:paraId="5926EC70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54957C9" w14:textId="77777777" w:rsidR="00FD0E1A" w:rsidRDefault="0000483F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9B989D2" w14:textId="77777777" w:rsidR="00FD0E1A" w:rsidRDefault="00FD0E1A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901EC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(залік, екзамен)</w:t>
      </w:r>
    </w:p>
    <w:p w14:paraId="7EFBA341" w14:textId="77777777" w:rsidR="00FD0E1A" w:rsidRDefault="0000483F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B303BB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A2CE02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621F5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1177F7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340EE7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C9B64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Demonstrative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reftexive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reciprocal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245B0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83C3E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BDF0E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E8EF55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26227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EC3693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F69F63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Same-way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4D67B8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>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0ADA6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628ECD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0D0B9E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836844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3D78F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18781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831C2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89CDC5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A7E6CB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DC6B2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C8969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</w:t>
      </w:r>
      <w:r>
        <w:rPr>
          <w:rFonts w:ascii="Times New Roman" w:eastAsia="Times New Roman" w:hAnsi="Times New Roman" w:cs="Times New Roman"/>
          <w:sz w:val="28"/>
          <w:szCs w:val="28"/>
        </w:rPr>
        <w:t>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04673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5BAAA7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EB2B1" w14:textId="77777777" w:rsidR="00FD0E1A" w:rsidRDefault="00004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A0AF7" w14:textId="77777777" w:rsidR="00FD0E1A" w:rsidRDefault="00004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537753" w14:textId="77777777" w:rsidR="00FD0E1A" w:rsidRDefault="00FD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5A3EF" w14:textId="77777777" w:rsidR="00FD0E1A" w:rsidRDefault="0000483F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673F0088" w14:textId="77777777" w:rsidR="00FD0E1A" w:rsidRDefault="0000483F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77045325" w14:textId="77777777" w:rsidR="00FD0E1A" w:rsidRDefault="0000483F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7BF6A84D" w14:textId="77777777" w:rsidR="00FD0E1A" w:rsidRDefault="0000483F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40A38789" w14:textId="77777777" w:rsidR="00FD0E1A" w:rsidRDefault="0000483F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5C936C75" w14:textId="77777777" w:rsidR="00FD0E1A" w:rsidRDefault="00FD0E1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B4AE9B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9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FD0E1A" w14:paraId="32D58B9D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9B2B94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E39A3E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A10F51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FD0E1A" w14:paraId="0DCC3757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59E32C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6CE05C" w14:textId="77777777" w:rsidR="00FD0E1A" w:rsidRDefault="0000483F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E7E6EF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363E5" w14:textId="77777777" w:rsidR="00FD0E1A" w:rsidRDefault="0000483F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C38CE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FD0E1A" w14:paraId="2B49B5EB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73CBDC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60AD28" w14:textId="77777777" w:rsidR="00FD0E1A" w:rsidRDefault="0000483F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DFC9A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7B15C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BD7FD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FD0E1A" w14:paraId="703AF117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D4BAE8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33B83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DED347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5C1798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020307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FD0E1A" w14:paraId="7F58DC17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3FFF7C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902E6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311D00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274F9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E448E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FD0E1A" w14:paraId="57611501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005CC3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368CD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0850A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0AB16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529CA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FD0E1A" w14:paraId="1FE62752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FB37C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457A02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67006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47317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201C30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FD0E1A" w14:paraId="39DCFD19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7F2C03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843E9" w14:textId="77777777" w:rsidR="00FD0E1A" w:rsidRDefault="0000483F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E20CCB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11CF10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419AD0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FD0E1A" w14:paraId="05633D40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E67242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A4770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35819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678AB5" w14:textId="77777777" w:rsidR="00FD0E1A" w:rsidRDefault="000048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0EA23" w14:textId="77777777" w:rsidR="00FD0E1A" w:rsidRDefault="0000483F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4B316F88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07F7C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3C779209" w14:textId="77777777" w:rsidR="00FD0E1A" w:rsidRDefault="0000483F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Технічні засоби: комп’ютер, мультимедійні презентації, відеоматеріали, чат, аудіозаписи тощо.</w:t>
      </w:r>
    </w:p>
    <w:p w14:paraId="522A42E1" w14:textId="77777777" w:rsidR="00FD0E1A" w:rsidRDefault="0000483F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3A5482E3" w14:textId="77777777" w:rsidR="00FD0E1A" w:rsidRDefault="0000483F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572E0D70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66CC3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03473DF9" w14:textId="77777777" w:rsidR="00FD0E1A" w:rsidRDefault="000048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5F2137B9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8638BE1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DF9EEC9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84A69C4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9C84864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38DE30B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54BF81B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E7A1F38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E0C610A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BF3913A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A173AAF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8331288" w14:textId="77777777" w:rsidR="00FD0E1A" w:rsidRDefault="00FD0E1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A5AC5C5" w14:textId="77777777" w:rsidR="00FD0E1A" w:rsidRDefault="0000483F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4761F2A7" w14:textId="77777777" w:rsidR="00FD0E1A" w:rsidRDefault="00FD0E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6D394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020F7F41" w14:textId="77777777" w:rsidR="00FD0E1A" w:rsidRDefault="0000483F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279193B7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6DCA8AE" w14:textId="77777777" w:rsidR="00FD0E1A" w:rsidRDefault="0000483F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2A3FD37C" w14:textId="77777777" w:rsidR="00FD0E1A" w:rsidRDefault="0000483F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6DA0FF54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54703E10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9D216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20CD93E0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09AEB1D9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Б-МВ-141</w:t>
      </w:r>
    </w:p>
    <w:tbl>
      <w:tblPr>
        <w:tblStyle w:val="afffa"/>
        <w:tblpPr w:leftFromText="180" w:rightFromText="180" w:topFromText="180" w:bottomFromText="180" w:vertAnchor="text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230"/>
        <w:gridCol w:w="1155"/>
        <w:gridCol w:w="885"/>
        <w:gridCol w:w="840"/>
        <w:gridCol w:w="600"/>
        <w:gridCol w:w="645"/>
        <w:gridCol w:w="555"/>
      </w:tblGrid>
      <w:tr w:rsidR="00FD0E1A" w14:paraId="0040FCE5" w14:textId="77777777">
        <w:trPr>
          <w:trHeight w:val="28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E99186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480844A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5FF714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969F32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2660E57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FD0E1A" w14:paraId="0408B26B" w14:textId="77777777">
        <w:trPr>
          <w:trHeight w:val="28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329623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7B6985B" w14:textId="77777777" w:rsidR="00FD0E1A" w:rsidRDefault="00FD0E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FFA28B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0B6CE9" w14:textId="77777777" w:rsidR="00FD0E1A" w:rsidRDefault="00FD0E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5E0C40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1A" w14:paraId="42C4C7A9" w14:textId="77777777">
        <w:trPr>
          <w:trHeight w:val="124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B16B11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654DDC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68ACDD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BC801E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8BAC9B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698881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A6A0AB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6E97DD" w14:textId="77777777" w:rsidR="00FD0E1A" w:rsidRDefault="00FD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1A" w14:paraId="4F07A7BA" w14:textId="77777777">
        <w:trPr>
          <w:trHeight w:val="499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2C7816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FD0E1A" w14:paraId="76645DBD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3BA6C33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230" w:type="dxa"/>
            <w:shd w:val="clear" w:color="auto" w:fill="auto"/>
          </w:tcPr>
          <w:p w14:paraId="51D5D45E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40ED1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D48E7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6AD99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B29D4E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ED8E54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E196D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</w:tr>
      <w:tr w:rsidR="00FD0E1A" w14:paraId="4DAEE19B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6D1F50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230" w:type="dxa"/>
            <w:shd w:val="clear" w:color="auto" w:fill="auto"/>
          </w:tcPr>
          <w:p w14:paraId="0C56F916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9E7D3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37422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F0FC6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00EC99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59649A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A75364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1DA18656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11E587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230" w:type="dxa"/>
            <w:shd w:val="clear" w:color="auto" w:fill="auto"/>
          </w:tcPr>
          <w:p w14:paraId="4E9F4D4D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6553F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53387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AB2D1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ED93B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497EF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98CA9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64EE42D9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AB458A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230" w:type="dxa"/>
            <w:shd w:val="clear" w:color="auto" w:fill="auto"/>
          </w:tcPr>
          <w:p w14:paraId="3D97B718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057E62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24C56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B6B1FA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3D6A1B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06671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AD71A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0E581E85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877299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230" w:type="dxa"/>
            <w:shd w:val="clear" w:color="auto" w:fill="auto"/>
          </w:tcPr>
          <w:p w14:paraId="1E442369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70F461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00BD1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63FCC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E5C9D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7E267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D973EF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009E07F2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597870A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12489B7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C3E75A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8F588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447A47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713CEF5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F76CB1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11740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D0E1A" w14:paraId="1CCDEB9A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A36DA2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B1CBD4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8E53924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FD0E1A" w14:paraId="436AA586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D43E66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FD0E1A" w14:paraId="0DBB3A4F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5CD0AE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230" w:type="dxa"/>
            <w:shd w:val="clear" w:color="auto" w:fill="auto"/>
          </w:tcPr>
          <w:p w14:paraId="1CBE9C99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8A56F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36790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CEBA3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CACFB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902D8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B2F396F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</w:tr>
      <w:tr w:rsidR="00FD0E1A" w14:paraId="106CEE30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2B89A3A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017F61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80A40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D224B3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7AC0AD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28CB2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E07347F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75B9F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3477DA22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FA61A8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81490A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DBEAC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CA046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18651A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EB3CF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88E6AC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AA3441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71D11E62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F81188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9.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C57DAC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7325A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78160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7F1609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1318C1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A9A22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3BE2CFF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6E212B61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877714" w14:textId="77777777" w:rsidR="00FD0E1A" w:rsidRDefault="0000483F">
            <w:pPr>
              <w:spacing w:before="240" w:after="240" w:line="240" w:lineRule="auto"/>
              <w:ind w:left="860" w:hanging="5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0469C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5D18A6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B6EF41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054AAF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0EECA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997B5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1C923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D0E1A" w14:paraId="6B2E04E1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8A1051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A0B272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EA69A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E4D66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02356B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C7F0FC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74C65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E9ECC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D0E1A" w14:paraId="3FD121FB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7E2379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23BCFD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15FC31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78CC2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3DB52A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5BC56E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B1D72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976A2E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120 </w:t>
            </w:r>
          </w:p>
        </w:tc>
      </w:tr>
      <w:tr w:rsidR="00FD0E1A" w14:paraId="6AEB7E42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1167A9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C29131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48D3A1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6757A1B6" w14:textId="77777777" w:rsidR="00FD0E1A" w:rsidRDefault="00FD0E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3A726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b"/>
        <w:tblW w:w="955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4275"/>
      </w:tblGrid>
      <w:tr w:rsidR="00FD0E1A" w14:paraId="3E264703" w14:textId="77777777">
        <w:trPr>
          <w:trHeight w:val="136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902316" w14:textId="77777777" w:rsidR="00FD0E1A" w:rsidRDefault="0000483F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2B9EEB5E" w14:textId="77777777" w:rsidR="00FD0E1A" w:rsidRDefault="0000483F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0AB84FF7" w14:textId="77777777" w:rsidR="00FD0E1A" w:rsidRDefault="0000483F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06FE6" w14:textId="77777777" w:rsidR="00FD0E1A" w:rsidRDefault="00FD0E1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C31BB19" w14:textId="77777777" w:rsidR="00FD0E1A" w:rsidRDefault="00FD0E1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AE3812E" w14:textId="77777777" w:rsidR="00FD0E1A" w:rsidRDefault="0000483F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74DF860B" w14:textId="77777777" w:rsidR="00FD0E1A" w:rsidRDefault="00FD0E1A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7F1109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EBD6307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28CFECC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617D0AC" w14:textId="77777777" w:rsidR="00FD0E1A" w:rsidRDefault="0000483F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7AAD13FF" w14:textId="77777777" w:rsidR="00FD0E1A" w:rsidRDefault="00FD0E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522B5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5D716A5F" w14:textId="77777777" w:rsidR="00FD0E1A" w:rsidRDefault="0000483F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630A9893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288C25FB" w14:textId="77777777" w:rsidR="00FD0E1A" w:rsidRDefault="0000483F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2399DB36" w14:textId="77777777" w:rsidR="00FD0E1A" w:rsidRDefault="0000483F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607B75F7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7B696C47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BE10C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43A54993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заочного навчання та підвищення кваліфікації (цивільні особи)</w:t>
      </w:r>
    </w:p>
    <w:p w14:paraId="3704596E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Б-МВ-141</w:t>
      </w:r>
    </w:p>
    <w:tbl>
      <w:tblPr>
        <w:tblStyle w:val="afffc"/>
        <w:tblpPr w:leftFromText="180" w:rightFromText="180" w:topFromText="180" w:bottomFromText="180" w:vertAnchor="text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230"/>
        <w:gridCol w:w="1155"/>
        <w:gridCol w:w="885"/>
        <w:gridCol w:w="840"/>
        <w:gridCol w:w="600"/>
        <w:gridCol w:w="645"/>
        <w:gridCol w:w="555"/>
      </w:tblGrid>
      <w:tr w:rsidR="00FD0E1A" w14:paraId="6DAD09E3" w14:textId="77777777">
        <w:trPr>
          <w:trHeight w:val="28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E7A04F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FDDE41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441823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5EDD38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597366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FD0E1A" w14:paraId="31F648EF" w14:textId="77777777">
        <w:trPr>
          <w:trHeight w:val="28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6130A5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93E211" w14:textId="77777777" w:rsidR="00FD0E1A" w:rsidRDefault="00FD0E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545B87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480A1B" w14:textId="77777777" w:rsidR="00FD0E1A" w:rsidRDefault="00FD0E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6B89343" w14:textId="77777777" w:rsidR="00FD0E1A" w:rsidRDefault="00FD0E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1A" w14:paraId="0F29C10F" w14:textId="77777777">
        <w:trPr>
          <w:trHeight w:val="124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58B943" w14:textId="77777777" w:rsidR="00FD0E1A" w:rsidRDefault="00FD0E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C82145" w14:textId="77777777" w:rsidR="00FD0E1A" w:rsidRDefault="00FD0E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B13D6A" w14:textId="77777777" w:rsidR="00FD0E1A" w:rsidRDefault="00FD0E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88DF456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8E33F37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0FCEEC1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6050C9" w14:textId="77777777" w:rsidR="00FD0E1A" w:rsidRDefault="000048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07ED5D" w14:textId="77777777" w:rsidR="00FD0E1A" w:rsidRDefault="00FD0E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E1A" w14:paraId="642E4D7B" w14:textId="77777777">
        <w:trPr>
          <w:trHeight w:val="499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FE01FBC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FD0E1A" w14:paraId="7DB22656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5F4DE2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230" w:type="dxa"/>
            <w:shd w:val="clear" w:color="auto" w:fill="auto"/>
          </w:tcPr>
          <w:p w14:paraId="663BCE03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F5B2D0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DBE4A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E086F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A7259F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85B27D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135BB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</w:tr>
      <w:tr w:rsidR="00FD0E1A" w14:paraId="529A8CA1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675AD8D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230" w:type="dxa"/>
            <w:shd w:val="clear" w:color="auto" w:fill="auto"/>
          </w:tcPr>
          <w:p w14:paraId="5B8FBAE2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0166F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D6E22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AF9BC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F833C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E7374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3F89E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D0E1A" w14:paraId="4898A231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11E64A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230" w:type="dxa"/>
            <w:shd w:val="clear" w:color="auto" w:fill="auto"/>
          </w:tcPr>
          <w:p w14:paraId="5FBC6AA4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53F38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B2C66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7346E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B72BBD8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B9D175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4958EE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D0E1A" w14:paraId="40DDF007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92FCF5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230" w:type="dxa"/>
            <w:shd w:val="clear" w:color="auto" w:fill="auto"/>
          </w:tcPr>
          <w:p w14:paraId="7BFEFD98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053B21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5E32E2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6DC72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7D6A7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69845D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A079B4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D0E1A" w14:paraId="07F1B4A7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4E1D94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D172DB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302F5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944EFB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A6C622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0BBCC1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54E6A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211A1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FD0E1A" w14:paraId="14A22FCD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AC202A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5ADFA0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41B3FA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FD0E1A" w14:paraId="6DC617BB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1084DF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FD0E1A" w14:paraId="2F087CFE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894E07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230" w:type="dxa"/>
            <w:shd w:val="clear" w:color="auto" w:fill="auto"/>
          </w:tcPr>
          <w:p w14:paraId="25834E5E" w14:textId="77777777" w:rsidR="00FD0E1A" w:rsidRDefault="00004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622E3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949595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3B2A2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CDF144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AD8D4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11B2E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</w:tc>
      </w:tr>
      <w:tr w:rsidR="00FD0E1A" w14:paraId="06D6C607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3AFDD88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D2B2A0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1B86A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09AF6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9ACA4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84EC0B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42F0F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321E83A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D0E1A" w14:paraId="156AE6B4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8779C8F" w14:textId="77777777" w:rsidR="00FD0E1A" w:rsidRDefault="0000483F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E05A0" w14:textId="77777777" w:rsidR="00FD0E1A" w:rsidRDefault="0000483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EA7F5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246A53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20FC8B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9326A2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23E0A1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16DEB6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D0E1A" w14:paraId="21D254D8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214129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CD9D75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1E69FE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D522F9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2AB5AEF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CC70AC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0B350C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FF00E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FD0E1A" w14:paraId="0BB9C8DD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D0D9B6B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E100D26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8D523E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CF1820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DD8135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B29237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A01827" w14:textId="77777777" w:rsidR="00FD0E1A" w:rsidRDefault="000048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FCB77A6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166 </w:t>
            </w:r>
          </w:p>
        </w:tc>
      </w:tr>
      <w:tr w:rsidR="00FD0E1A" w14:paraId="669BE191" w14:textId="77777777">
        <w:trPr>
          <w:trHeight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15B8A8B" w14:textId="77777777" w:rsidR="00FD0E1A" w:rsidRDefault="0000483F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FDEE28B" w14:textId="77777777" w:rsidR="00FD0E1A" w:rsidRDefault="0000483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A5C5A4" w14:textId="77777777" w:rsidR="00FD0E1A" w:rsidRDefault="000048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05297256" w14:textId="77777777" w:rsidR="00FD0E1A" w:rsidRDefault="00FD0E1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40DFB" w14:textId="77777777" w:rsidR="00FD0E1A" w:rsidRDefault="000048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d"/>
        <w:tblW w:w="955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4275"/>
      </w:tblGrid>
      <w:tr w:rsidR="00FD0E1A" w14:paraId="7D59CEF9" w14:textId="77777777">
        <w:trPr>
          <w:trHeight w:val="136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692D9F" w14:textId="77777777" w:rsidR="00FD0E1A" w:rsidRDefault="00FD0E1A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82BFE" w14:textId="77777777" w:rsidR="00FD0E1A" w:rsidRDefault="0000483F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Завідувач кафедри</w:t>
            </w:r>
          </w:p>
          <w:p w14:paraId="208C733C" w14:textId="77777777" w:rsidR="00FD0E1A" w:rsidRDefault="0000483F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72D94F8" w14:textId="77777777" w:rsidR="00FD0E1A" w:rsidRDefault="0000483F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-гуманітарних дисциплін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B8D592" w14:textId="77777777" w:rsidR="00FD0E1A" w:rsidRDefault="00FD0E1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FE615F5" w14:textId="77777777" w:rsidR="00FD0E1A" w:rsidRDefault="00FD0E1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8E542A1" w14:textId="77777777" w:rsidR="00FD0E1A" w:rsidRDefault="0000483F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E39E02C" w14:textId="77777777" w:rsidR="00FD0E1A" w:rsidRDefault="00FD0E1A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66223C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E3C5AB2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C704517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A1768D0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F1CA4CA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8EAC02F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0DBAD01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688E8B7" w14:textId="77777777" w:rsidR="00FD0E1A" w:rsidRDefault="00FD0E1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D5476F1" w14:textId="77777777" w:rsidR="00FD0E1A" w:rsidRDefault="0000483F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6C63D9CF" w14:textId="77777777" w:rsidR="00FD0E1A" w:rsidRDefault="00FD0E1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7C75F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8985404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46DBE263" w14:textId="77777777" w:rsidR="00FD0E1A" w:rsidRDefault="000048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7C88CDFF" w14:textId="77777777" w:rsidR="00FD0E1A" w:rsidRDefault="000048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3AE44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50513FA4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«Міжнародні відносини, суспільні комунікації</w:t>
      </w:r>
    </w:p>
    <w:p w14:paraId="580367B8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та  регіональні студії»</w:t>
      </w:r>
    </w:p>
    <w:p w14:paraId="15AEE253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712D53E1" w14:textId="77777777" w:rsidR="00FD0E1A" w:rsidRDefault="000048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7D4BF" w14:textId="77777777" w:rsidR="00FD0E1A" w:rsidRDefault="0000483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28A9A6E3" w14:textId="77777777" w:rsidR="00FD0E1A" w:rsidRDefault="000048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0F7423EA" w14:textId="77777777" w:rsidR="00FD0E1A" w:rsidRDefault="000048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</w:t>
      </w:r>
      <w:r>
        <w:rPr>
          <w:rFonts w:ascii="Times New Roman" w:eastAsia="Times New Roman" w:hAnsi="Times New Roman" w:cs="Times New Roman"/>
          <w:sz w:val="28"/>
          <w:szCs w:val="28"/>
        </w:rPr>
        <w:t>556-18#Text;</w:t>
      </w:r>
    </w:p>
    <w:p w14:paraId="75928C7D" w14:textId="77777777" w:rsidR="00FD0E1A" w:rsidRDefault="000048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1224985D" w14:textId="77777777" w:rsidR="00FD0E1A" w:rsidRDefault="00FD0E1A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5F27E" w14:textId="77777777" w:rsidR="00FD0E1A" w:rsidRDefault="000048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166482EC" w14:textId="77777777" w:rsidR="00FD0E1A" w:rsidRDefault="00004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FF6596" w14:textId="77777777" w:rsidR="00FD0E1A" w:rsidRDefault="0000483F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E8FAC4" w14:textId="77777777" w:rsidR="00FD0E1A" w:rsidRDefault="0000483F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p.;</w:t>
      </w:r>
    </w:p>
    <w:p w14:paraId="4CE911C9" w14:textId="77777777" w:rsidR="00FD0E1A" w:rsidRDefault="0000483F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245C2B08" w14:textId="77777777" w:rsidR="00FD0E1A" w:rsidRDefault="0000483F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7EEB91AB" w14:textId="77777777" w:rsidR="00FD0E1A" w:rsidRDefault="0000483F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2E403D11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1737709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5AA8782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sz w:val="28"/>
          <w:szCs w:val="28"/>
        </w:rPr>
        <w:t>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2A1D6E27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4617A59C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Артеменко Л.О. Практикум з граматики англійської мови : для студентів І курсу нефілологічних спеціальностей. Харків: НУА, 2015. 64 с.</w:t>
      </w:r>
    </w:p>
    <w:p w14:paraId="14392A8A" w14:textId="77777777" w:rsidR="00FD0E1A" w:rsidRDefault="0000483F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2016. 177 p.</w:t>
      </w:r>
    </w:p>
    <w:p w14:paraId="7021B3F1" w14:textId="77777777" w:rsidR="00FD0E1A" w:rsidRDefault="00FD0E1A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10D26" w14:textId="77777777" w:rsidR="00FD0E1A" w:rsidRDefault="0000483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3B625A86" w14:textId="77777777" w:rsidR="00FD0E1A" w:rsidRDefault="0000483F">
      <w:pPr>
        <w:numPr>
          <w:ilvl w:val="0"/>
          <w:numId w:val="4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473799DA" w14:textId="77777777" w:rsidR="00FD0E1A" w:rsidRDefault="0000483F">
      <w:pPr>
        <w:numPr>
          <w:ilvl w:val="0"/>
          <w:numId w:val="4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</w:t>
      </w:r>
    </w:p>
    <w:p w14:paraId="3B160B80" w14:textId="77777777" w:rsidR="00FD0E1A" w:rsidRDefault="0000483F">
      <w:pPr>
        <w:shd w:val="clear" w:color="auto" w:fill="FFFFFF"/>
        <w:spacing w:before="240"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57C3F608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13C26428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388FE71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95F976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8FF77C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164529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8680C11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AA3974E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0F06ED8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2D91056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54921B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375C7A2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8788A0A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546299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27574D91" w14:textId="77777777" w:rsidR="00FD0E1A" w:rsidRDefault="000048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5B47802D" w14:textId="77777777" w:rsidR="00FD0E1A" w:rsidRDefault="0000483F">
      <w:pPr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0D29A5" w14:textId="77777777" w:rsidR="00FD0E1A" w:rsidRDefault="0000483F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</w:t>
      </w:r>
      <w:r>
        <w:rPr>
          <w:rFonts w:ascii="Times New Roman" w:eastAsia="Times New Roman" w:hAnsi="Times New Roman" w:cs="Times New Roman"/>
          <w:sz w:val="28"/>
          <w:szCs w:val="28"/>
        </w:rPr>
        <w:t>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e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FD0E1A" w14:paraId="209448EC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37CFA" w14:textId="77777777" w:rsidR="00FD0E1A" w:rsidRDefault="0000483F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DDE5B17" w14:textId="77777777" w:rsidR="00FD0E1A" w:rsidRDefault="0000483F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265933C9" w14:textId="77777777" w:rsidR="00FD0E1A" w:rsidRDefault="0000483F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2462DC" w14:textId="77777777" w:rsidR="00FD0E1A" w:rsidRDefault="00FD0E1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9F17EA4" w14:textId="77777777" w:rsidR="00FD0E1A" w:rsidRDefault="0000483F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73BE5C6C" w14:textId="77777777" w:rsidR="00FD0E1A" w:rsidRDefault="00FD0E1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FD0E1A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A48B" w14:textId="77777777" w:rsidR="0000483F" w:rsidRDefault="0000483F">
      <w:pPr>
        <w:spacing w:after="0" w:line="240" w:lineRule="auto"/>
      </w:pPr>
      <w:r>
        <w:separator/>
      </w:r>
    </w:p>
  </w:endnote>
  <w:endnote w:type="continuationSeparator" w:id="0">
    <w:p w14:paraId="71FFB1F5" w14:textId="77777777" w:rsidR="0000483F" w:rsidRDefault="000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37B4" w14:textId="77777777" w:rsidR="0000483F" w:rsidRDefault="0000483F">
      <w:pPr>
        <w:spacing w:after="0" w:line="240" w:lineRule="auto"/>
      </w:pPr>
      <w:r>
        <w:separator/>
      </w:r>
    </w:p>
  </w:footnote>
  <w:footnote w:type="continuationSeparator" w:id="0">
    <w:p w14:paraId="4F76BA3F" w14:textId="77777777" w:rsidR="0000483F" w:rsidRDefault="000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2DA" w14:textId="77777777" w:rsidR="00FD0E1A" w:rsidRDefault="00FD0E1A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695"/>
    <w:multiLevelType w:val="multilevel"/>
    <w:tmpl w:val="DA34A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A5441"/>
    <w:multiLevelType w:val="multilevel"/>
    <w:tmpl w:val="21DAF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A1B9B"/>
    <w:multiLevelType w:val="multilevel"/>
    <w:tmpl w:val="7C380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7633F"/>
    <w:multiLevelType w:val="multilevel"/>
    <w:tmpl w:val="4C06F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B47251"/>
    <w:multiLevelType w:val="multilevel"/>
    <w:tmpl w:val="DEC24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512F60"/>
    <w:multiLevelType w:val="multilevel"/>
    <w:tmpl w:val="5D0E4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A74532"/>
    <w:multiLevelType w:val="multilevel"/>
    <w:tmpl w:val="C28AE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FD6D11"/>
    <w:multiLevelType w:val="multilevel"/>
    <w:tmpl w:val="D0283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A"/>
    <w:rsid w:val="0000483F"/>
    <w:rsid w:val="00086E09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762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UDl+Zv0Edz9lIjHnmFb54rNTnQ==">CgMxLjA4AHIhMUd5VXNPNXRmT1ZyU3pSb09DNUJuZ2pLWm5GUjJhWk5w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22582</Words>
  <Characters>12873</Characters>
  <Application>Microsoft Office Word</Application>
  <DocSecurity>0</DocSecurity>
  <Lines>107</Lines>
  <Paragraphs>70</Paragraphs>
  <ScaleCrop>false</ScaleCrop>
  <Company/>
  <LinksUpToDate>false</LinksUpToDate>
  <CharactersWithSpaces>35385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2023-11-06T16:56:00Z</dcterms:modified>
</cp:coreProperties>
</file>