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9040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57F5D89E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0D83F86C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1ADE049A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526358B8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484F5D57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BCABEC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0C1C43FF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693726" w14:textId="77777777" w:rsidR="00CA4063" w:rsidRDefault="00C25988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66757868" w14:textId="77777777" w:rsidR="00CA4063" w:rsidRDefault="00C2598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399122F" w14:textId="77777777" w:rsidR="00CA4063" w:rsidRDefault="00C25988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625B7E32" w14:textId="77777777" w:rsidR="00CA4063" w:rsidRDefault="00C25988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Публічне управління та адміністрування</w:t>
      </w:r>
    </w:p>
    <w:p w14:paraId="6B053E4B" w14:textId="77777777" w:rsidR="00CA4063" w:rsidRDefault="00C25988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281 «П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ублічне управління та адміністрування»</w:t>
      </w:r>
    </w:p>
    <w:p w14:paraId="4333C64C" w14:textId="77777777" w:rsidR="00CA4063" w:rsidRDefault="00C25988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«Публічне управління та адміністрування», затверджена наказом ДДУВС від 06.04.2022 № 198</w:t>
      </w:r>
    </w:p>
    <w:p w14:paraId="344B1F9C" w14:textId="77777777" w:rsidR="00CA4063" w:rsidRDefault="00C25988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410880E2" w14:textId="77777777" w:rsidR="00CA4063" w:rsidRDefault="00C25988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7E453670" w14:textId="77777777" w:rsidR="00CA4063" w:rsidRDefault="00C2598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0466CCF" w14:textId="77777777" w:rsidR="00CA4063" w:rsidRDefault="00CA406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C9206E" w14:textId="77777777" w:rsidR="00CA4063" w:rsidRDefault="00CA406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EE16FF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p w14:paraId="76F4F1DA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96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F0227F" w14:paraId="3C5811CE" w14:textId="77777777" w:rsidTr="00617513">
        <w:tc>
          <w:tcPr>
            <w:tcW w:w="4393" w:type="dxa"/>
            <w:shd w:val="clear" w:color="auto" w:fill="auto"/>
          </w:tcPr>
          <w:p w14:paraId="56D4E6D6" w14:textId="77777777" w:rsidR="00F0227F" w:rsidRDefault="00F0227F" w:rsidP="00F0227F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40A8807A" w14:textId="77777777" w:rsidR="00F0227F" w:rsidRDefault="00F0227F" w:rsidP="00F0227F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1B558EE8" w14:textId="77777777" w:rsidR="00F0227F" w:rsidRDefault="00F0227F" w:rsidP="00F0227F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F0227F" w14:paraId="466946A1" w14:textId="77777777" w:rsidTr="00617513">
        <w:trPr>
          <w:trHeight w:val="1264"/>
        </w:trPr>
        <w:tc>
          <w:tcPr>
            <w:tcW w:w="4393" w:type="dxa"/>
            <w:shd w:val="clear" w:color="auto" w:fill="auto"/>
          </w:tcPr>
          <w:p w14:paraId="19AFD62B" w14:textId="77777777" w:rsidR="00F0227F" w:rsidRPr="00774AA7" w:rsidRDefault="00F0227F" w:rsidP="00F0227F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09B7EA4B" w14:textId="77777777" w:rsidR="00F0227F" w:rsidRDefault="00F0227F" w:rsidP="00F0227F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Дніпропетровського державного університету внутрішніх справ 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6FA3FB56" w14:textId="77777777" w:rsidR="00F0227F" w:rsidRDefault="00F0227F" w:rsidP="00F0227F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0EE0603" w14:textId="77777777" w:rsidR="00F0227F" w:rsidRDefault="00F0227F" w:rsidP="00F0227F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F0227F" w14:paraId="07317EB8" w14:textId="77777777" w:rsidTr="00617513">
        <w:trPr>
          <w:trHeight w:val="81"/>
        </w:trPr>
        <w:tc>
          <w:tcPr>
            <w:tcW w:w="4393" w:type="dxa"/>
            <w:shd w:val="clear" w:color="auto" w:fill="auto"/>
          </w:tcPr>
          <w:p w14:paraId="4FC76867" w14:textId="77777777" w:rsidR="00F0227F" w:rsidRDefault="00F0227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FD1B86" w14:textId="77777777" w:rsidR="00F0227F" w:rsidRDefault="00F0227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1C15B0EF" w14:textId="77777777" w:rsidR="00F0227F" w:rsidRDefault="00F0227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698049" w14:textId="77777777" w:rsidR="00F0227F" w:rsidRDefault="00F0227F" w:rsidP="00F022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14:paraId="2A6B493C" w14:textId="77777777" w:rsidR="00F0227F" w:rsidRDefault="00F0227F" w:rsidP="00F022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 «</w:t>
      </w:r>
      <w:r>
        <w:rPr>
          <w:rFonts w:ascii="Times New Roman" w:eastAsia="Times New Roman" w:hAnsi="Times New Roman" w:cs="Times New Roman"/>
          <w:sz w:val="28"/>
          <w:szCs w:val="28"/>
        </w:rPr>
        <w:t>Публічне управління та адміністрування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14:paraId="70E55F08" w14:textId="77777777" w:rsidR="00F0227F" w:rsidRDefault="00F0227F" w:rsidP="00F0227F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          Наталія СИДОРЕНКО</w:t>
      </w:r>
    </w:p>
    <w:p w14:paraId="2A7BA6C0" w14:textId="77777777" w:rsidR="00F0227F" w:rsidRDefault="00F0227F" w:rsidP="00F0227F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(підпис)                                         (ім’я та прізвище)</w:t>
      </w:r>
    </w:p>
    <w:p w14:paraId="64B8DC81" w14:textId="2255F678" w:rsidR="00F0227F" w:rsidRPr="00774AA7" w:rsidRDefault="00F0227F" w:rsidP="00F0227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22F02904" w14:textId="77777777" w:rsidR="00F0227F" w:rsidRPr="00774AA7" w:rsidRDefault="00F0227F" w:rsidP="00F022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0"/>
    <w:p w14:paraId="3F1FED81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E75650" w14:textId="77777777" w:rsidR="00CA4063" w:rsidRDefault="00C25988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(англійська мова) // Робоча програма навчальної дисципліни.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19 с.</w:t>
      </w:r>
    </w:p>
    <w:p w14:paraId="33E71CD8" w14:textId="77777777" w:rsidR="00CA4063" w:rsidRDefault="00C2598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4A65E2" w14:textId="77777777" w:rsidR="00CA4063" w:rsidRDefault="00C2598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753359A7" w14:textId="77777777" w:rsidR="00CA4063" w:rsidRDefault="00C2598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</w:t>
      </w:r>
      <w:r>
        <w:rPr>
          <w:rFonts w:ascii="Times New Roman" w:eastAsia="Times New Roman" w:hAnsi="Times New Roman" w:cs="Times New Roman"/>
          <w:sz w:val="28"/>
          <w:szCs w:val="28"/>
        </w:rPr>
        <w:t>-гуманітарних дисциплін, Інна КОЗУБАЙ;</w:t>
      </w:r>
    </w:p>
    <w:p w14:paraId="4E03519B" w14:textId="77777777" w:rsidR="00CA4063" w:rsidRDefault="00C2598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Ірина НІКІТІНА;</w:t>
      </w:r>
    </w:p>
    <w:p w14:paraId="705E7D8C" w14:textId="77777777" w:rsidR="00CA4063" w:rsidRDefault="00C2598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740366AE" w14:textId="77777777" w:rsidR="00CA4063" w:rsidRDefault="00C2598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ТИ:</w:t>
      </w:r>
    </w:p>
    <w:p w14:paraId="4187271C" w14:textId="77777777" w:rsidR="00CA4063" w:rsidRDefault="00C25988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78F4276C" w14:textId="77777777" w:rsidR="00CA4063" w:rsidRDefault="00C25988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49995AA9" w14:textId="77777777" w:rsidR="00CA4063" w:rsidRDefault="00C259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1B37EC20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c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CA4063" w14:paraId="3382A376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6A3C39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95442D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655AA7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536626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CA4063" w14:paraId="62D82A1C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C5AFD3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F6EFD7" w14:textId="77777777" w:rsidR="00CA4063" w:rsidRDefault="00CA40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5C022B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CBF73A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A4063" w14:paraId="7416EA7F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D45D4D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0C0062" w14:textId="77777777" w:rsidR="00CA4063" w:rsidRDefault="00CA40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7765EC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8E0307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A4063" w14:paraId="154344B7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2F0ADD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C09C85" w14:textId="77777777" w:rsidR="00CA4063" w:rsidRDefault="00CA40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418B29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846C81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A4063" w14:paraId="66F36C14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AFEEA1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6281A4" w14:textId="77777777" w:rsidR="00CA4063" w:rsidRDefault="00CA40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141A50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24F93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A4063" w14:paraId="5AD28F83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862584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5A0228" w14:textId="77777777" w:rsidR="00CA4063" w:rsidRDefault="00CA40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11A421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D25989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77C1A48C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D869C8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5F0BA7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ED205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BE72E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408FA1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2C4A4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CEA76A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94D32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136023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C0AE9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1B7193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0E1A7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DA7EB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FE3EC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B7B0D3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74B31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C8E04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0E2A0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4316A7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C8C855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A192F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64CB4E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D8681E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1F4B26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2BB36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24C841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2343F3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F28F0D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66D465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EE507" w14:textId="77777777" w:rsidR="00CA4063" w:rsidRDefault="00CA40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5428B" w14:textId="77777777" w:rsidR="00CA4063" w:rsidRDefault="00C2598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6A6691DB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d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CA4063" w14:paraId="4D24D415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F663B5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365C1F33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25B887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CA4063" w14:paraId="22122A12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E8F695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487A83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90B8E6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CA4063" w14:paraId="28CCC46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E4B833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7B5731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4063" w14:paraId="126EE481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974F7A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D0CDAB" w14:textId="77777777" w:rsidR="00CA4063" w:rsidRDefault="00C25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A4063" w14:paraId="3B274551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40D200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C51920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61B346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4063" w14:paraId="064DE228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9B19CD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39C476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32A76D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CA4063" w14:paraId="497D5B24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E9DF09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1E598D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5E44AC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4063" w14:paraId="63A01A0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1E5A0E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71AD17" w14:textId="77777777" w:rsidR="00CA4063" w:rsidRDefault="00C25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0A3BAC" w14:textId="77777777" w:rsidR="00CA4063" w:rsidRDefault="00C259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4063" w14:paraId="6BE3843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13C255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130268" w14:textId="77777777" w:rsidR="00CA4063" w:rsidRDefault="00C25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502D38" w14:textId="77777777" w:rsidR="00CA4063" w:rsidRDefault="00C25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4063" w14:paraId="0DA8369B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547878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9E4D83" w14:textId="77777777" w:rsidR="00CA4063" w:rsidRDefault="00C25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108417" w14:textId="77777777" w:rsidR="00CA4063" w:rsidRDefault="00C25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A4063" w14:paraId="27AB72A0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43A065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6CEC21" w14:textId="77777777" w:rsidR="00CA4063" w:rsidRDefault="00C25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4063" w14:paraId="362A45A8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592649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1EBE46" w14:textId="77777777" w:rsidR="00CA4063" w:rsidRDefault="00C25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7651BA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BF05E4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51B6B9" w14:textId="77777777" w:rsidR="00CA4063" w:rsidRDefault="00C2598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46DBA834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0BA4A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879C33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8018FB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B47D4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0F400C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18D064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FF89D5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5793BB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CB6797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1F2F4" w14:textId="77777777" w:rsidR="00CA4063" w:rsidRDefault="00C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27871" w14:textId="77777777" w:rsidR="00CA4063" w:rsidRDefault="00C2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17338648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B33C1E" w14:textId="77777777" w:rsidR="00CA4063" w:rsidRDefault="00C259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Метою вивчення навчальної дисципліни «Іноземна мова (англійська мова)» є підготовка висококваліфікованих фахівців у сфері публічного управління та адміністрування, які володіють сучасним мисленням та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необхідними для професійної діяльності, що передбачає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що сприятиме їхньому ефективному функціонуванню у культурному розмаїтті навчального та професійного середовищ та забезпечує необхідну для </w:t>
      </w:r>
      <w:r>
        <w:rPr>
          <w:rFonts w:ascii="Times New Roman" w:eastAsia="Times New Roman" w:hAnsi="Times New Roman" w:cs="Times New Roman"/>
          <w:sz w:val="28"/>
          <w:szCs w:val="28"/>
        </w:rPr>
        <w:t>фахівців комунікативну самостійність у сферах професійного й ситуативно-побутового спілкування в усній та письмовій формах.</w:t>
      </w:r>
    </w:p>
    <w:p w14:paraId="2D161B13" w14:textId="77777777" w:rsidR="00CA4063" w:rsidRDefault="00C259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 (англійська мова)» є набуття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лінгвокраїнознавчих та культурологічн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знань; формування у студентів загальних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орієнтованих комунікативних мовленнєвих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(лінгвістичної, соціолінгвістичної і прагматичної) для забезпечення їхнього ефективного спілкування в академічному та професійному середовищі; </w:t>
      </w:r>
      <w:r>
        <w:rPr>
          <w:rFonts w:ascii="Times New Roman" w:eastAsia="Times New Roman" w:hAnsi="Times New Roman" w:cs="Times New Roman"/>
          <w:sz w:val="28"/>
          <w:szCs w:val="28"/>
        </w:rPr>
        <w:t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44196904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діалогічного мовлення у межах основних комунікативних типів мовлення: повідомлення, розповідь, опис, переконання, схвалення, осуд тощо, а також оволодіння тактикою мовлення. Студент повинен </w:t>
      </w:r>
      <w:r>
        <w:rPr>
          <w:rFonts w:ascii="Times New Roman" w:eastAsia="Times New Roman" w:hAnsi="Times New Roman" w:cs="Times New Roman"/>
          <w:sz w:val="28"/>
          <w:szCs w:val="28"/>
        </w:rPr>
        <w:t>володіти навичками діалогічного мовлення, необхідними для вільного спілкування у межах побутової тематики та ситуаціях професійного іншомовного спілкування</w:t>
      </w:r>
    </w:p>
    <w:p w14:paraId="1DDE9260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матеріалах оригінальної наукової літератури, преси та художньої літератури, вміння прогнозувати тематику тексту за ключовими словами, узагальнити отриману інформацію та виділити основний зміст тексту, вміння знаходити необхідну інформацію на різних рівнях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структури тексту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прослідкувати розвиток теми та виділити інформацію, що розкриває і уточнює головні положення змісту тексту.</w:t>
      </w:r>
    </w:p>
    <w:p w14:paraId="7EA23122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</w:t>
      </w:r>
      <w:r>
        <w:rPr>
          <w:rFonts w:ascii="Times New Roman" w:eastAsia="Times New Roman" w:hAnsi="Times New Roman" w:cs="Times New Roman"/>
          <w:sz w:val="28"/>
          <w:szCs w:val="28"/>
        </w:rPr>
        <w:t>вміти також скласти іноземною мовою конспект, план чи тези до прочитаного, викласти на письмі зміст прочитаного чи почутого, написати повідомлення, доповідь тощо.</w:t>
      </w:r>
    </w:p>
    <w:p w14:paraId="2F43D166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</w:t>
      </w:r>
      <w:r>
        <w:rPr>
          <w:rFonts w:ascii="Times New Roman" w:eastAsia="Times New Roman" w:hAnsi="Times New Roman" w:cs="Times New Roman"/>
          <w:sz w:val="28"/>
          <w:szCs w:val="28"/>
        </w:rPr>
        <w:t>і розуміння діалогічних та монологічних висловлювань носіїв мови і як результат – опанування умінь і навичок іншомовного спілкування на загально-побутову та професійну тематику.</w:t>
      </w:r>
    </w:p>
    <w:p w14:paraId="57C50D32" w14:textId="77777777" w:rsidR="00CA4063" w:rsidRDefault="00C259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ою:</w:t>
      </w:r>
    </w:p>
    <w:p w14:paraId="3D981A85" w14:textId="77777777" w:rsidR="00CA4063" w:rsidRDefault="00C259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 в сфері публічного управління та адміністрування, зовнішньополітичної діяльності держав, міжнародних взаємодій між державами, міжнародними організац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іями та недержавними акторами,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відносин. </w:t>
      </w:r>
    </w:p>
    <w:p w14:paraId="0F3E349D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60752BC6" w14:textId="77777777" w:rsidR="00CA4063" w:rsidRDefault="00C259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ЗК1 – здатність </w:t>
      </w:r>
      <w:r>
        <w:rPr>
          <w:rFonts w:ascii="Times New Roman" w:eastAsia="Times New Roman" w:hAnsi="Times New Roman" w:cs="Times New Roman"/>
          <w:sz w:val="28"/>
          <w:szCs w:val="28"/>
        </w:rPr>
        <w:t>вчитися та оволодівати сучасними знаннями;</w:t>
      </w:r>
    </w:p>
    <w:p w14:paraId="0A1D2260" w14:textId="77777777" w:rsidR="00CA4063" w:rsidRDefault="00C25988">
      <w:pPr>
        <w:spacing w:before="240" w:after="240" w:line="294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ЗК11 – здатність спілкуватися іноземною мовою.</w:t>
      </w:r>
    </w:p>
    <w:p w14:paraId="1ABC6F61" w14:textId="77777777" w:rsidR="00CA4063" w:rsidRDefault="00C259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Дисципліни, базові знання яких та результати навчання необхідні студенту для успішного навчання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«Українська мова»;  «Іноземна мова» на рівні не нижче В1.</w:t>
      </w:r>
    </w:p>
    <w:p w14:paraId="4A09A00C" w14:textId="77777777" w:rsidR="00CA4063" w:rsidRDefault="00C259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Дисципліни, які будуть використовувати результати нав</w:t>
      </w:r>
      <w:r>
        <w:rPr>
          <w:rFonts w:ascii="Times New Roman" w:eastAsia="Times New Roman" w:hAnsi="Times New Roman" w:cs="Times New Roman"/>
          <w:sz w:val="28"/>
          <w:szCs w:val="28"/>
        </w:rPr>
        <w:t>чання дисципліни «Іноземна мова» 2 курс.</w:t>
      </w:r>
    </w:p>
    <w:p w14:paraId="6E4DD4F5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3AEFAAB9" w14:textId="77777777" w:rsidR="00CA4063" w:rsidRDefault="00C259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ПРН3 – вміти усно і письмово спілкуватися іноземною мовою.</w:t>
      </w:r>
    </w:p>
    <w:p w14:paraId="17754E75" w14:textId="77777777" w:rsidR="00CA4063" w:rsidRDefault="00CA406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F8A6A" w14:textId="77777777" w:rsidR="00CA4063" w:rsidRDefault="00C25988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287DC8EB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1B2FD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Personally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C8C8905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Emoti</w:t>
      </w:r>
      <w:r>
        <w:rPr>
          <w:rFonts w:ascii="Times New Roman" w:eastAsia="Times New Roman" w:hAnsi="Times New Roman" w:cs="Times New Roman"/>
          <w:sz w:val="28"/>
          <w:szCs w:val="28"/>
        </w:rPr>
        <w:t>on-related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71816C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</w:p>
    <w:p w14:paraId="3B7EE8C5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similar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</w:t>
      </w:r>
      <w:r>
        <w:rPr>
          <w:rFonts w:ascii="Times New Roman" w:eastAsia="Times New Roman" w:hAnsi="Times New Roman" w:cs="Times New Roman"/>
          <w:sz w:val="28"/>
          <w:szCs w:val="28"/>
        </w:rPr>
        <w:t>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together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B4B3EC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3.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Quality</w:t>
      </w:r>
      <w:proofErr w:type="spellEnd"/>
    </w:p>
    <w:p w14:paraId="45671CDB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entertainment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celebrities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celebrities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</w:t>
      </w:r>
      <w:r>
        <w:rPr>
          <w:rFonts w:ascii="Times New Roman" w:eastAsia="Times New Roman" w:hAnsi="Times New Roman" w:cs="Times New Roman"/>
          <w:sz w:val="28"/>
          <w:szCs w:val="28"/>
        </w:rPr>
        <w:t>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CAD946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</w:p>
    <w:p w14:paraId="43FE127E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skimming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quantifiers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urban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verbs,collocations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18513B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Technology</w:t>
      </w:r>
      <w:proofErr w:type="spellEnd"/>
    </w:p>
    <w:p w14:paraId="10F0F5AA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spotting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modals.Talking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keeping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conversation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0D3B33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</w:p>
    <w:p w14:paraId="21A4CF19" w14:textId="77777777" w:rsidR="00CA4063" w:rsidRDefault="00C2598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Multiple-choice,identifying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Free-time-and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</w:t>
      </w:r>
      <w:r>
        <w:rPr>
          <w:rFonts w:ascii="Times New Roman" w:eastAsia="Times New Roman" w:hAnsi="Times New Roman" w:cs="Times New Roman"/>
          <w:sz w:val="28"/>
          <w:szCs w:val="28"/>
        </w:rPr>
        <w:t>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choices.Phrasal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A9B511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7.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Wrong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6B9435D9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distractions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causatives.Talking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E2BC85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Environmental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affairs</w:t>
      </w:r>
      <w:proofErr w:type="spellEnd"/>
    </w:p>
    <w:p w14:paraId="2867095E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z w:val="28"/>
          <w:szCs w:val="28"/>
        </w:rPr>
        <w:t>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Environmental-related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mixed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issues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z w:val="28"/>
          <w:szCs w:val="28"/>
        </w:rPr>
        <w:t>rsuading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convincing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prepositions,gapped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DF26D4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9.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72E15806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meaning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Job-related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employment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verbs,collocations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9FAC32F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Learn</w:t>
      </w:r>
      <w:proofErr w:type="spellEnd"/>
    </w:p>
    <w:p w14:paraId="341EB638" w14:textId="77777777" w:rsidR="00CA4063" w:rsidRDefault="00C2598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remembering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</w:t>
      </w:r>
      <w:r>
        <w:rPr>
          <w:rFonts w:ascii="Times New Roman" w:eastAsia="Times New Roman" w:hAnsi="Times New Roman" w:cs="Times New Roman"/>
          <w:sz w:val="28"/>
          <w:szCs w:val="28"/>
        </w:rPr>
        <w:t>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subjects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clarification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rephrasing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clarification.Phrasal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415B83" w14:textId="77777777" w:rsidR="00CA4063" w:rsidRDefault="00CA406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6069E8" w14:textId="77777777" w:rsidR="00CA4063" w:rsidRDefault="00C2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3CCBE7C3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7586EEB1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547FE7BF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49EA7682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D13730" w14:textId="77777777" w:rsidR="00CA4063" w:rsidRDefault="00C259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Підсумковий контроль – це перевірка рівня засвоєння знань, навичок,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6F3EFDBB" w14:textId="77777777" w:rsidR="00CA4063" w:rsidRDefault="00C259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 (англійська мова)» передбачено:</w:t>
      </w:r>
    </w:p>
    <w:p w14:paraId="5E98F235" w14:textId="77777777" w:rsidR="00CA4063" w:rsidRDefault="00C259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залік;</w:t>
      </w:r>
    </w:p>
    <w:p w14:paraId="2C90BE16" w14:textId="77777777" w:rsidR="00CA4063" w:rsidRDefault="00C25988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47D91BDF" w14:textId="77777777" w:rsidR="00CA4063" w:rsidRDefault="00C25988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6F0F1798" w14:textId="77777777" w:rsidR="00CA4063" w:rsidRDefault="00C25988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31091D67" w14:textId="77777777" w:rsidR="00CA4063" w:rsidRDefault="00C25988">
      <w:pPr>
        <w:numPr>
          <w:ilvl w:val="0"/>
          <w:numId w:val="8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45B9C392" w14:textId="77777777" w:rsidR="00CA4063" w:rsidRDefault="00C25988">
      <w:pPr>
        <w:numPr>
          <w:ilvl w:val="0"/>
          <w:numId w:val="8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02909900" w14:textId="77777777" w:rsidR="00CA4063" w:rsidRDefault="00C25988">
      <w:pPr>
        <w:numPr>
          <w:ilvl w:val="0"/>
          <w:numId w:val="8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са</w:t>
      </w:r>
      <w:r>
        <w:rPr>
          <w:rFonts w:ascii="Times New Roman" w:eastAsia="Times New Roman" w:hAnsi="Times New Roman" w:cs="Times New Roman"/>
          <w:sz w:val="28"/>
          <w:szCs w:val="28"/>
        </w:rPr>
        <w:t>мостійної роботи;</w:t>
      </w:r>
    </w:p>
    <w:p w14:paraId="004A4A21" w14:textId="77777777" w:rsidR="00CA4063" w:rsidRDefault="00C25988">
      <w:pPr>
        <w:numPr>
          <w:ilvl w:val="0"/>
          <w:numId w:val="8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3D0A7F26" w14:textId="77777777" w:rsidR="00CA4063" w:rsidRDefault="00CA4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CB741" w14:textId="77777777" w:rsidR="00CA4063" w:rsidRDefault="00C25988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20CF1C1F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e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CA4063" w14:paraId="0FB3A207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768D21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1109DA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CA4063" w14:paraId="2AC2E993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5B9200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FCF153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CA4063" w14:paraId="313990D9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877FE0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41752F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CA4063" w14:paraId="7D988D5A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76A994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5456F3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CA4063" w14:paraId="0540349B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73B72B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46E807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CA4063" w14:paraId="792EB457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2ECC8B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69A6BF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CA4063" w14:paraId="6D713C60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C96E56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9A8F1E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2C261DD8" w14:textId="77777777" w:rsidR="00CA4063" w:rsidRDefault="00C259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 (англійська мова)» засобами діагностики знань (успішності навчання) виступають: </w:t>
      </w:r>
    </w:p>
    <w:p w14:paraId="4D53C1C2" w14:textId="77777777" w:rsidR="00CA4063" w:rsidRDefault="00C259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213D0499" w14:textId="77777777" w:rsidR="00CA4063" w:rsidRDefault="00C259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3CE6223F" w14:textId="77777777" w:rsidR="00CA4063" w:rsidRDefault="00C259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написання есе, особистого листа чи резюме,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поза-аудиторне читання та його захист; </w:t>
      </w:r>
    </w:p>
    <w:p w14:paraId="63BC9B5C" w14:textId="77777777" w:rsidR="00CA4063" w:rsidRDefault="00C259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55A0F568" w14:textId="77777777" w:rsidR="00CA4063" w:rsidRDefault="00C259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1AF38095" w14:textId="77777777" w:rsidR="00CA4063" w:rsidRDefault="00C2598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0A9899E4" w14:textId="77777777" w:rsidR="00CA4063" w:rsidRDefault="00CA40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54776D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127661E6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62966B1A" w14:textId="77777777" w:rsidR="00CA4063" w:rsidRDefault="00C25988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97A747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918AC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345C11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BCF35B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D0DB93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47770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E6BFDB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4E5B08ED" w14:textId="77777777" w:rsidR="00CA4063" w:rsidRDefault="00C25988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725A2C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F9F6F1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8354CB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58B008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661D43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7D84EE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618664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6D5B67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587DA5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92432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4E524E" w14:textId="77777777" w:rsidR="00CA4063" w:rsidRDefault="00C25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84065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B362A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A9AA12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EE52F4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F10905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F3EF5E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32A7DC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5EA466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D5B218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E4924" w14:textId="77777777" w:rsidR="00CA4063" w:rsidRDefault="00C259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E8BED3" w14:textId="77777777" w:rsidR="00CA4063" w:rsidRDefault="00CA40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D68D6" w14:textId="77777777" w:rsidR="00CA4063" w:rsidRDefault="00C259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7ADBBED1" w14:textId="77777777" w:rsidR="00CA4063" w:rsidRDefault="00C259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5B345967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02569977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</w:t>
      </w:r>
      <w:r>
        <w:rPr>
          <w:rFonts w:ascii="Times New Roman" w:eastAsia="Times New Roman" w:hAnsi="Times New Roman" w:cs="Times New Roman"/>
          <w:sz w:val="28"/>
          <w:szCs w:val="28"/>
        </w:rPr>
        <w:t>ьно 4 бали.</w:t>
      </w:r>
    </w:p>
    <w:p w14:paraId="4F4A23ED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6A510FB1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42D3ECEA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5734B143" w14:textId="77777777" w:rsidR="00CA4063" w:rsidRDefault="00CA4063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813288" w14:textId="77777777" w:rsidR="00CA4063" w:rsidRDefault="00C25988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</w:t>
      </w:r>
    </w:p>
    <w:p w14:paraId="467C410E" w14:textId="77777777" w:rsidR="00CA4063" w:rsidRDefault="00C25988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тез наукової доповіді,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27D89206" w14:textId="77777777" w:rsidR="00CA4063" w:rsidRDefault="00CA406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66C526" w14:textId="77777777" w:rsidR="00CA4063" w:rsidRDefault="00C25988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13A61BE6" w14:textId="77777777" w:rsidR="00CA4063" w:rsidRDefault="00C25988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6688F8E8" w14:textId="77777777" w:rsidR="00CA4063" w:rsidRDefault="00CA406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C1B885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35D090CC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1D4FAAB8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</w:t>
      </w:r>
      <w:r>
        <w:rPr>
          <w:rFonts w:ascii="Times New Roman" w:eastAsia="Times New Roman" w:hAnsi="Times New Roman" w:cs="Times New Roman"/>
          <w:sz w:val="28"/>
          <w:szCs w:val="28"/>
        </w:rPr>
        <w:t>бити аргументовані висновки - максимально 3 бали.</w:t>
      </w:r>
    </w:p>
    <w:p w14:paraId="145508B2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1D3B62D1" w14:textId="77777777" w:rsidR="00CA4063" w:rsidRDefault="00C25988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0A4AB0B7" w14:textId="77777777" w:rsidR="00CA4063" w:rsidRDefault="00CA4063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A0637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747D4C7C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05EC2F74" w14:textId="77777777" w:rsidR="00CA4063" w:rsidRDefault="00C25988">
      <w:pPr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E5391A" w14:textId="77777777" w:rsidR="00CA4063" w:rsidRDefault="00C259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CC6A9F" w14:textId="77777777" w:rsidR="00CA4063" w:rsidRDefault="00C259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2316E0" w14:textId="77777777" w:rsidR="00CA4063" w:rsidRDefault="00C259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31634C" w14:textId="77777777" w:rsidR="00CA4063" w:rsidRDefault="00C259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BB1EDF" w14:textId="77777777" w:rsidR="00CA4063" w:rsidRDefault="00C259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9C16B1" w14:textId="77777777" w:rsidR="00CA4063" w:rsidRDefault="00C259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1F81A9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52BDDF86" w14:textId="77777777" w:rsidR="00CA4063" w:rsidRDefault="00C25988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34FB2F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51C4E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6BBB32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F9455A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E685E2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AAF011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C88228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362B65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2BACFE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9843F2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73732D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168480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E605C7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7896FC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450669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139AD9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285338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0D63C3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B8F034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E3D5DB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8FF9AA" w14:textId="77777777" w:rsidR="00CA4063" w:rsidRDefault="00C259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9D710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</w:p>
    <w:p w14:paraId="6A6C2E4B" w14:textId="77777777" w:rsidR="00CA4063" w:rsidRDefault="00C25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38D6E6" w14:textId="77777777" w:rsidR="00CA4063" w:rsidRDefault="00C25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9925B9" w14:textId="77777777" w:rsidR="00CA4063" w:rsidRDefault="00C25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4900D2" w14:textId="77777777" w:rsidR="00CA4063" w:rsidRDefault="00C25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B17798" w14:textId="77777777" w:rsidR="00CA4063" w:rsidRDefault="00C25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45CD13" w14:textId="77777777" w:rsidR="00CA4063" w:rsidRDefault="00C25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D916FD" w14:textId="77777777" w:rsidR="00CA4063" w:rsidRDefault="00CA4063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53AD84" w14:textId="77777777" w:rsidR="00CA4063" w:rsidRDefault="00C25988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32349757" w14:textId="77777777" w:rsidR="00CA4063" w:rsidRDefault="00C25988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269EBE26" w14:textId="77777777" w:rsidR="00CA4063" w:rsidRDefault="00C25988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32F16D9B" w14:textId="77777777" w:rsidR="00CA4063" w:rsidRDefault="00C25988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Виконання практичної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730696D1" w14:textId="77777777" w:rsidR="00CA4063" w:rsidRDefault="00C25988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ісля опанування курсу.</w:t>
      </w:r>
    </w:p>
    <w:p w14:paraId="5ED4C304" w14:textId="77777777" w:rsidR="00CA4063" w:rsidRDefault="00CA406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A4A4B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ff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CA4063" w14:paraId="4AC202CC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10F0EA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F740C3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7C4724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CA4063" w14:paraId="5F38A198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F23A55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B489C5" w14:textId="77777777" w:rsidR="00CA4063" w:rsidRDefault="00C25988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1641ED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EC087F" w14:textId="77777777" w:rsidR="00CA4063" w:rsidRDefault="00C25988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0EE374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CA4063" w14:paraId="7F614EEB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9C36DD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F16C50" w14:textId="77777777" w:rsidR="00CA4063" w:rsidRDefault="00C25988">
            <w:pPr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D52376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BE3D03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375914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CA4063" w14:paraId="6E5556CF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1D9AE9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CCBB21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33BCB4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DB0574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6D1898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CA4063" w14:paraId="16E16614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F02A00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8823EE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D74ACF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5DCFE0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FC94B4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CA4063" w14:paraId="6338378D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15D8F1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3080EC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CEC2BC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11A0CF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52D813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CA4063" w14:paraId="58477F52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816BA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4CDD18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CAE7EA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2FE223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03224C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CA4063" w14:paraId="788390BD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EC5218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162C60" w14:textId="77777777" w:rsidR="00CA4063" w:rsidRDefault="00C25988">
            <w:pPr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B1278F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4753C5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657699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</w:t>
            </w:r>
            <w:r>
              <w:rPr>
                <w:rFonts w:ascii="Times New Roman" w:eastAsia="Times New Roman" w:hAnsi="Times New Roman" w:cs="Times New Roman"/>
              </w:rPr>
              <w:t>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CA4063" w14:paraId="431473E7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549599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FC00FF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BF1E7C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0171CF" w14:textId="77777777" w:rsidR="00CA4063" w:rsidRDefault="00C2598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77E837" w14:textId="77777777" w:rsidR="00CA4063" w:rsidRDefault="00C2598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02AF2A61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F98D54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44AF8AF0" w14:textId="77777777" w:rsidR="00CA4063" w:rsidRDefault="00C25988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1D71E53E" w14:textId="77777777" w:rsidR="00CA4063" w:rsidRDefault="00C25988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35743D03" w14:textId="77777777" w:rsidR="00CA4063" w:rsidRDefault="00C25988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47556C7D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2FCD6E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4BE8BC84" w14:textId="77777777" w:rsidR="00CA4063" w:rsidRDefault="00C259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 1.3. (оновлюється щорічно та/або в разі необхідності).</w:t>
      </w:r>
    </w:p>
    <w:p w14:paraId="3A94FFB3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1225783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D83FC22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B6C5906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6A03B1F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C08E0C4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BA38423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B1110C1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8BC6E04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FD5683E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90CF5BB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13BCD4B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E3F7F3B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500AAC3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5A3DABF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A0BBE69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F9480B6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F1A934C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9918188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E231DB7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437D11E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C5E4B5B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87DCBA2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CF9DD11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8A2BF80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69961C0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547CAD4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E3D1D2E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9953258" w14:textId="77777777" w:rsidR="00CA4063" w:rsidRDefault="00C25988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4BB9427E" w14:textId="77777777" w:rsidR="00CA4063" w:rsidRDefault="00CA40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8C487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25D81FF9" w14:textId="77777777" w:rsidR="00CA4063" w:rsidRDefault="00C25988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6F4F5E62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52E4C804" w14:textId="77777777" w:rsidR="00CA4063" w:rsidRDefault="00C25988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281 «Публічне управління та адміністрування»</w:t>
      </w:r>
    </w:p>
    <w:p w14:paraId="2DDA2961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2572459B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BE51D35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0F9E4230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455DED4D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Б-ПУА-141</w:t>
      </w:r>
    </w:p>
    <w:tbl>
      <w:tblPr>
        <w:tblStyle w:val="affff0"/>
        <w:tblpPr w:leftFromText="180" w:rightFromText="180" w:topFromText="180" w:bottomFromText="180" w:vertAnchor="text" w:tblpX="-114" w:tblpY="18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75"/>
        <w:gridCol w:w="750"/>
        <w:gridCol w:w="705"/>
        <w:gridCol w:w="570"/>
        <w:gridCol w:w="570"/>
        <w:gridCol w:w="615"/>
        <w:gridCol w:w="510"/>
      </w:tblGrid>
      <w:tr w:rsidR="00CA4063" w14:paraId="4E3E0AC1" w14:textId="77777777"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6FD9" w14:textId="77777777" w:rsidR="00CA4063" w:rsidRDefault="00C2598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теми (згідно з РПНД)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BF9C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 (згідно з РПНД)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8D1A" w14:textId="77777777" w:rsidR="00CA4063" w:rsidRDefault="00C2598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F896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59AD" w14:textId="77777777" w:rsidR="00CA4063" w:rsidRDefault="00C2598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С/Р та І/Р</w:t>
            </w:r>
          </w:p>
        </w:tc>
      </w:tr>
      <w:tr w:rsidR="00CA4063" w14:paraId="411FA262" w14:textId="77777777">
        <w:trPr>
          <w:cantSplit/>
          <w:trHeight w:val="26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5DD6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BEC5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7837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97FD" w14:textId="77777777" w:rsidR="00CA4063" w:rsidRDefault="00C2598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C617" w14:textId="77777777" w:rsidR="00CA4063" w:rsidRDefault="00C2598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1987" w14:textId="77777777" w:rsidR="00CA4063" w:rsidRDefault="00C2598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1A39" w14:textId="77777777" w:rsidR="00CA4063" w:rsidRDefault="00C2598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П/З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3DB43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63" w14:paraId="662C68FA" w14:textId="77777777">
        <w:trPr>
          <w:trHeight w:val="255"/>
        </w:trPr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6BFB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</w:tr>
      <w:tr w:rsidR="00CA4063" w14:paraId="61D2F9E2" w14:textId="77777777">
        <w:trPr>
          <w:trHeight w:val="25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3522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5" w:type="dxa"/>
            <w:shd w:val="clear" w:color="auto" w:fill="auto"/>
          </w:tcPr>
          <w:p w14:paraId="12372BED" w14:textId="77777777" w:rsidR="00CA4063" w:rsidRDefault="00C2598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DD04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CBF4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1FE4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35E9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FB72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090C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561C95B2" w14:textId="77777777">
        <w:trPr>
          <w:trHeight w:val="28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3BD9" w14:textId="77777777" w:rsidR="00CA4063" w:rsidRDefault="00C25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shd w:val="clear" w:color="auto" w:fill="auto"/>
          </w:tcPr>
          <w:p w14:paraId="4409F17D" w14:textId="77777777" w:rsidR="00CA4063" w:rsidRDefault="00C2598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136A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9C88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CAC5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DEB4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20A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AA85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340C4B2A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9E4A" w14:textId="77777777" w:rsidR="00CA4063" w:rsidRDefault="00C25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shd w:val="clear" w:color="auto" w:fill="auto"/>
          </w:tcPr>
          <w:p w14:paraId="36704171" w14:textId="77777777" w:rsidR="00CA4063" w:rsidRDefault="00C2598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6D9C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C02D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7BA1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9DEF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E0D8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A499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13C2C540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4BF8" w14:textId="77777777" w:rsidR="00CA4063" w:rsidRDefault="00C25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shd w:val="clear" w:color="auto" w:fill="auto"/>
          </w:tcPr>
          <w:p w14:paraId="2AEB4E66" w14:textId="77777777" w:rsidR="00CA4063" w:rsidRDefault="00C2598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68B6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D6CC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314A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D447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6CF3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9938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6135CA32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DBCD" w14:textId="77777777" w:rsidR="00CA4063" w:rsidRDefault="00C25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shd w:val="clear" w:color="auto" w:fill="auto"/>
          </w:tcPr>
          <w:p w14:paraId="0B9E201E" w14:textId="77777777" w:rsidR="00CA4063" w:rsidRDefault="00C2598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CDCE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2670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5EEC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3B1C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5D91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4697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4C4E8E19" w14:textId="77777777">
        <w:trPr>
          <w:trHeight w:val="24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DAF8" w14:textId="77777777" w:rsidR="00CA4063" w:rsidRDefault="00CA4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5122" w14:textId="77777777" w:rsidR="00CA4063" w:rsidRDefault="00C2598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Разом за семестр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548D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7ED6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BAE0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E2C5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464D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F4A7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CA4063" w14:paraId="556D59EF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3057" w14:textId="77777777" w:rsidR="00CA4063" w:rsidRDefault="00CA4063">
            <w:pPr>
              <w:widowControl w:val="0"/>
              <w:ind w:left="50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82F3" w14:textId="77777777" w:rsidR="00CA4063" w:rsidRDefault="00C2598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7C2C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залік</w:t>
            </w:r>
          </w:p>
        </w:tc>
      </w:tr>
      <w:tr w:rsidR="00CA4063" w14:paraId="685DFCE9" w14:textId="77777777">
        <w:trPr>
          <w:trHeight w:val="245"/>
        </w:trPr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F745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семестр</w:t>
            </w:r>
          </w:p>
        </w:tc>
      </w:tr>
      <w:tr w:rsidR="00CA4063" w14:paraId="3BF1AF27" w14:textId="77777777">
        <w:trPr>
          <w:trHeight w:val="24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7798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shd w:val="clear" w:color="auto" w:fill="auto"/>
          </w:tcPr>
          <w:p w14:paraId="7144F335" w14:textId="77777777" w:rsidR="00CA4063" w:rsidRDefault="00C2598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3528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37F1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EE7E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3EBA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2F14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CD03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181C5D93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4B73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306447" w14:textId="77777777" w:rsidR="00CA4063" w:rsidRDefault="00C2598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C80C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1613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CD10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C9E3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D298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F5D9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10B96EC2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9EC8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5E11FB" w14:textId="77777777" w:rsidR="00CA4063" w:rsidRDefault="00C2598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affairs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B449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0FC9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85DC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1BDE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F069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C10A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6C8BA0A9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BEF3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DC4C24" w14:textId="77777777" w:rsidR="00CA4063" w:rsidRDefault="00C2598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CF15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0F7B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93AA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9A26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A940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E96B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0864B9AC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57B9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F53670" w14:textId="77777777" w:rsidR="00CA4063" w:rsidRDefault="00C2598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458C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E40D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988B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F3D2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ABB6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3896" w14:textId="77777777" w:rsidR="00CA4063" w:rsidRDefault="00C259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063" w14:paraId="1774F62D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B389" w14:textId="77777777" w:rsidR="00CA4063" w:rsidRDefault="00CA4063">
            <w:pPr>
              <w:widowControl w:val="0"/>
              <w:ind w:left="50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3D27" w14:textId="77777777" w:rsidR="00CA4063" w:rsidRDefault="00C2598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Разом за семестр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C55A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F2C6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711F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67EA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3196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F619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CA4063" w14:paraId="38426D9A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E5B3" w14:textId="77777777" w:rsidR="00CA4063" w:rsidRDefault="00CA4063">
            <w:pPr>
              <w:widowControl w:val="0"/>
              <w:ind w:left="50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FD90" w14:textId="77777777" w:rsidR="00CA4063" w:rsidRDefault="00C2598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Разом за навчальний рік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48C4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5DAB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5A7D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4081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7F8F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83F6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CA4063" w14:paraId="6E4DFA93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82BC" w14:textId="77777777" w:rsidR="00CA4063" w:rsidRDefault="00CA4063">
            <w:pPr>
              <w:widowControl w:val="0"/>
              <w:ind w:left="50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65AD" w14:textId="77777777" w:rsidR="00CA4063" w:rsidRDefault="00C2598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6F99" w14:textId="77777777" w:rsidR="00CA4063" w:rsidRDefault="00C259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залік</w:t>
            </w:r>
          </w:p>
        </w:tc>
      </w:tr>
    </w:tbl>
    <w:p w14:paraId="4092C9DF" w14:textId="77777777" w:rsidR="00CA4063" w:rsidRDefault="00C259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p w14:paraId="5A573C36" w14:textId="77777777" w:rsidR="00CA4063" w:rsidRDefault="00CA406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ADD967" w14:textId="77777777" w:rsidR="00CA4063" w:rsidRDefault="00CA406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1"/>
        <w:tblW w:w="951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4275"/>
      </w:tblGrid>
      <w:tr w:rsidR="00CA4063" w14:paraId="4A9D5E85" w14:textId="77777777">
        <w:trPr>
          <w:trHeight w:val="136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7A32F0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0A00F7F5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62353284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-гуманітарних дисциплін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DFDADB" w14:textId="77777777" w:rsidR="00CA4063" w:rsidRDefault="00CA4063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7FDBC26B" w14:textId="77777777" w:rsidR="00CA4063" w:rsidRDefault="00CA4063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2CBE9249" w14:textId="77777777" w:rsidR="00CA4063" w:rsidRDefault="00C25988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25FEC779" w14:textId="77777777" w:rsidR="00CA4063" w:rsidRDefault="00CA4063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373557" w14:textId="77777777" w:rsidR="00CA4063" w:rsidRDefault="00CA4063">
            <w:pPr>
              <w:spacing w:before="240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060FE9" w14:textId="77777777" w:rsidR="00CA4063" w:rsidRDefault="00CA4063">
            <w:pPr>
              <w:spacing w:before="240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3FFE58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C0D2A45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01B6AA9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6D7CE2F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00D8D0E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2E943D4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9DBEBAA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4ECB5D1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80803B1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682854E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840B94F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611D979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5D0E5A1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A060FD4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59A16A7" w14:textId="77777777" w:rsidR="00CA4063" w:rsidRDefault="00CA40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363C7F4" w14:textId="77777777" w:rsidR="00CA4063" w:rsidRDefault="00C25988">
      <w:pPr>
        <w:spacing w:before="240" w:after="240" w:line="276" w:lineRule="auto"/>
        <w:ind w:left="63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Додаток 1.2 </w:t>
      </w:r>
    </w:p>
    <w:p w14:paraId="35FAB9D4" w14:textId="77777777" w:rsidR="00CA4063" w:rsidRDefault="00C2598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B7B9DA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1961D71C" w14:textId="77777777" w:rsidR="00CA4063" w:rsidRDefault="00C25988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59860AD6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065AA064" w14:textId="77777777" w:rsidR="00CA4063" w:rsidRDefault="00C25988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281 «Публічне управління та адміністрування»</w:t>
      </w:r>
    </w:p>
    <w:p w14:paraId="5DC7DE57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57A98A6B" w14:textId="77777777" w:rsidR="00CA4063" w:rsidRDefault="00C2598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300A68" w14:textId="77777777" w:rsidR="00CA4063" w:rsidRDefault="00C25988">
      <w:pPr>
        <w:spacing w:before="2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навчання: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ЗАОЧНА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(120 годин)</w:t>
      </w:r>
    </w:p>
    <w:p w14:paraId="340C01F6" w14:textId="77777777" w:rsidR="00CA4063" w:rsidRDefault="00C2598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заочного навчання та підвищення кваліфікації (цивільні особи)</w:t>
      </w:r>
    </w:p>
    <w:p w14:paraId="4BB40D76" w14:textId="77777777" w:rsidR="00CA4063" w:rsidRDefault="00C25988">
      <w:pPr>
        <w:spacing w:before="240" w:after="0" w:line="276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 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Група БЗ-ПУА-141</w:t>
      </w:r>
    </w:p>
    <w:tbl>
      <w:tblPr>
        <w:tblStyle w:val="affff2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3450"/>
        <w:gridCol w:w="1065"/>
        <w:gridCol w:w="885"/>
        <w:gridCol w:w="945"/>
        <w:gridCol w:w="675"/>
        <w:gridCol w:w="975"/>
        <w:gridCol w:w="1005"/>
      </w:tblGrid>
      <w:tr w:rsidR="00CA4063" w14:paraId="57146364" w14:textId="77777777">
        <w:trPr>
          <w:trHeight w:val="72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55290" w14:textId="77777777" w:rsidR="00CA4063" w:rsidRDefault="00C25988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теми (згідно з РПНД)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D5155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теми (згідно з РПНД)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5D662" w14:textId="77777777" w:rsidR="00CA4063" w:rsidRDefault="00C25988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Загальний обсяг годин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E69C2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Аудиторна робота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FC1090" w14:textId="77777777" w:rsidR="00CA4063" w:rsidRDefault="00C25988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С/Р та І/Р</w:t>
            </w:r>
          </w:p>
        </w:tc>
      </w:tr>
      <w:tr w:rsidR="00CA4063" w14:paraId="70D8D6D1" w14:textId="77777777">
        <w:trPr>
          <w:trHeight w:val="285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CF91" w14:textId="77777777" w:rsidR="00CA4063" w:rsidRDefault="00CA406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B827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9F23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EDBEE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079D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063" w14:paraId="68E1FD16" w14:textId="77777777">
        <w:trPr>
          <w:trHeight w:val="285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0663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E48C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ADDE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E03C7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B2DF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063" w14:paraId="1EE1FED2" w14:textId="77777777">
        <w:trPr>
          <w:trHeight w:val="1245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1A4C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9F43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BC62" w14:textId="77777777" w:rsidR="00CA4063" w:rsidRDefault="00C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1DCC8" w14:textId="77777777" w:rsidR="00CA4063" w:rsidRDefault="00C25988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FFD51F" w14:textId="77777777" w:rsidR="00CA4063" w:rsidRDefault="00C25988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FF8C1" w14:textId="77777777" w:rsidR="00CA4063" w:rsidRDefault="00C25988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6CC92" w14:textId="77777777" w:rsidR="00CA4063" w:rsidRDefault="00C25988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П/З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C952" w14:textId="77777777" w:rsidR="00CA4063" w:rsidRDefault="00CA406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063" w14:paraId="2509814C" w14:textId="77777777">
        <w:trPr>
          <w:trHeight w:val="720"/>
        </w:trPr>
        <w:tc>
          <w:tcPr>
            <w:tcW w:w="99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F98253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CA4063" w14:paraId="12B896BE" w14:textId="77777777">
        <w:trPr>
          <w:trHeight w:val="765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B1FD99" w14:textId="77777777" w:rsidR="00CA4063" w:rsidRDefault="00C25988">
            <w:pPr>
              <w:spacing w:before="240" w:after="240" w:line="276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    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D13D" w14:textId="77777777" w:rsidR="00CA4063" w:rsidRDefault="00C25988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19F856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8D9A8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2B06A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696B2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FE960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9095A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</w:tr>
      <w:tr w:rsidR="00CA4063" w14:paraId="4E4B8025" w14:textId="77777777">
        <w:trPr>
          <w:trHeight w:val="72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BB0B8" w14:textId="77777777" w:rsidR="00CA4063" w:rsidRDefault="00C25988">
            <w:pPr>
              <w:spacing w:before="240" w:after="240" w:line="276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 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576F" w14:textId="77777777" w:rsidR="00CA4063" w:rsidRDefault="00C25988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2404D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990EF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9D4D3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67EBE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8FB91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7BA87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</w:tr>
      <w:tr w:rsidR="00CA4063" w14:paraId="1F71CC24" w14:textId="77777777">
        <w:trPr>
          <w:trHeight w:val="72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FE0A3" w14:textId="77777777" w:rsidR="00CA4063" w:rsidRDefault="00C25988">
            <w:pPr>
              <w:spacing w:before="240" w:after="240" w:line="276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94D8" w14:textId="77777777" w:rsidR="00CA4063" w:rsidRDefault="00C25988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30152E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98970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A4DC1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5A435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9367D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BFEFC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</w:tr>
      <w:tr w:rsidR="00CA4063" w14:paraId="00795D95" w14:textId="77777777">
        <w:trPr>
          <w:trHeight w:val="72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B14EC7" w14:textId="77777777" w:rsidR="00CA4063" w:rsidRDefault="00C25988">
            <w:pPr>
              <w:spacing w:before="240" w:after="240" w:line="276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80FFF" w14:textId="77777777" w:rsidR="00CA4063" w:rsidRDefault="00C25988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A6C18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11D957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BCBEE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B1D75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8613F4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85AA0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CA4063" w14:paraId="57E366AC" w14:textId="77777777">
        <w:trPr>
          <w:trHeight w:val="72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7CC1C" w14:textId="77777777" w:rsidR="00CA4063" w:rsidRDefault="00C25988">
            <w:pPr>
              <w:spacing w:before="240" w:after="240" w:line="276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E23BF" w14:textId="77777777" w:rsidR="00CA4063" w:rsidRDefault="00C25988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DFF99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CA4063" w14:paraId="35C82923" w14:textId="77777777">
        <w:trPr>
          <w:trHeight w:val="369"/>
        </w:trPr>
        <w:tc>
          <w:tcPr>
            <w:tcW w:w="99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6C95F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CA4063" w14:paraId="416A1719" w14:textId="77777777">
        <w:trPr>
          <w:trHeight w:val="72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F0592" w14:textId="77777777" w:rsidR="00CA4063" w:rsidRDefault="00C25988">
            <w:pPr>
              <w:spacing w:before="240" w:after="240" w:line="276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 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946C" w14:textId="77777777" w:rsidR="00CA4063" w:rsidRDefault="00C25988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BB9AA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EA512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F761D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2F074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F7BA5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0712D5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</w:tr>
      <w:tr w:rsidR="00CA4063" w14:paraId="2B1C89E7" w14:textId="77777777">
        <w:trPr>
          <w:trHeight w:val="1035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4E9E3" w14:textId="77777777" w:rsidR="00CA4063" w:rsidRDefault="00C25988">
            <w:pPr>
              <w:spacing w:before="240" w:after="240" w:line="276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8D5EBD" w14:textId="77777777" w:rsidR="00CA4063" w:rsidRDefault="00C2598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78581E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96078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6D940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D93742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98BA2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EA994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</w:tr>
      <w:tr w:rsidR="00CA4063" w14:paraId="2D10F87D" w14:textId="77777777">
        <w:trPr>
          <w:trHeight w:val="105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3356B" w14:textId="77777777" w:rsidR="00CA4063" w:rsidRDefault="00C25988">
            <w:pPr>
              <w:spacing w:before="240" w:after="240" w:line="276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7.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84FCD3" w14:textId="77777777" w:rsidR="00CA4063" w:rsidRDefault="00C2598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affairs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3F1E9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45305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1C111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88E08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7D8F1E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82CF0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</w:tr>
      <w:tr w:rsidR="00CA4063" w14:paraId="6F7BD60B" w14:textId="77777777">
        <w:trPr>
          <w:trHeight w:val="72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98C47" w14:textId="77777777" w:rsidR="00CA4063" w:rsidRDefault="00C25988">
            <w:pPr>
              <w:spacing w:before="240" w:after="240" w:line="276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277AD4" w14:textId="77777777" w:rsidR="00CA4063" w:rsidRDefault="00C25988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FD463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38461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A295E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B1FAD3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069CF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81F77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CA4063" w14:paraId="439C3DD1" w14:textId="77777777">
        <w:trPr>
          <w:trHeight w:val="96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CF5E93" w14:textId="77777777" w:rsidR="00CA4063" w:rsidRDefault="00C25988">
            <w:pPr>
              <w:spacing w:before="240" w:after="240" w:line="276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6C33E6" w14:textId="77777777" w:rsidR="00CA4063" w:rsidRDefault="00C25988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FDA31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26942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CF28D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F1E271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8CD04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DBC44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CA4063" w14:paraId="4D53438F" w14:textId="77777777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C4ED8" w14:textId="77777777" w:rsidR="00CA4063" w:rsidRDefault="00C25988">
            <w:pPr>
              <w:spacing w:before="240" w:after="240" w:line="276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99F17" w14:textId="77777777" w:rsidR="00CA4063" w:rsidRDefault="00C25988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92166" w14:textId="77777777" w:rsidR="00CA4063" w:rsidRDefault="00C2598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0E53A84F" w14:textId="77777777" w:rsidR="00CA4063" w:rsidRDefault="00C2598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6C8CA2" w14:textId="77777777" w:rsidR="00CA4063" w:rsidRDefault="00C2598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3"/>
        <w:tblW w:w="6615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1710"/>
      </w:tblGrid>
      <w:tr w:rsidR="00CA4063" w14:paraId="17EF8C3B" w14:textId="77777777">
        <w:trPr>
          <w:trHeight w:val="208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5BE396" w14:textId="77777777" w:rsidR="00CA4063" w:rsidRDefault="00C2598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D36EF4B" w14:textId="77777777" w:rsidR="00CA4063" w:rsidRDefault="00C2598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6F870F8C" w14:textId="77777777" w:rsidR="00CA4063" w:rsidRDefault="00C2598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6C5F14" w14:textId="77777777" w:rsidR="00CA4063" w:rsidRDefault="00CA4063">
            <w:pPr>
              <w:spacing w:before="240" w:after="24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7788476C" w14:textId="77777777" w:rsidR="00CA4063" w:rsidRDefault="00CA4063">
            <w:pPr>
              <w:spacing w:before="240" w:after="24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228ED2D" w14:textId="77777777" w:rsidR="00CA4063" w:rsidRDefault="00C25988">
            <w:pPr>
              <w:spacing w:before="240" w:after="0" w:line="240" w:lineRule="auto"/>
              <w:ind w:left="-900" w:right="-29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371FA367" w14:textId="77777777" w:rsidR="00CA4063" w:rsidRDefault="00CA4063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CC67E8" w14:textId="77777777" w:rsidR="00CA4063" w:rsidRDefault="00CA4063">
            <w:pPr>
              <w:spacing w:before="240" w:after="24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BAFFAD" w14:textId="77777777" w:rsidR="00CA4063" w:rsidRDefault="00CA4063">
            <w:pPr>
              <w:spacing w:before="240" w:after="24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E37AFD" w14:textId="77777777" w:rsidR="00CA4063" w:rsidRDefault="00CA4063">
      <w:pPr>
        <w:spacing w:before="240" w:line="240" w:lineRule="auto"/>
        <w:jc w:val="center"/>
        <w:rPr>
          <w:rFonts w:ascii="Times New Roman" w:eastAsia="Times New Roman" w:hAnsi="Times New Roman" w:cs="Times New Roman"/>
        </w:rPr>
      </w:pPr>
    </w:p>
    <w:p w14:paraId="40F227A8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24E83984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7BF33C7D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3D6488D0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54E161B6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656E6E43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5888F6CD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1970F6FC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1DBFD33A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63171BF4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08984F36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56238FDA" w14:textId="77777777" w:rsidR="00CA4063" w:rsidRDefault="00CA4063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</w:rPr>
      </w:pPr>
    </w:p>
    <w:p w14:paraId="2D5271BE" w14:textId="77777777" w:rsidR="00CA4063" w:rsidRDefault="00C25988">
      <w:pPr>
        <w:spacing w:after="0" w:line="240" w:lineRule="auto"/>
        <w:ind w:left="4140" w:hanging="21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Додаток 1.3</w:t>
      </w:r>
    </w:p>
    <w:p w14:paraId="4EE24DCE" w14:textId="77777777" w:rsidR="00CA4063" w:rsidRDefault="00CA406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CFB220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6CF14ABE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НАВЧАЛЬНОЇ ДИСЦИПЛІНИ</w:t>
      </w:r>
    </w:p>
    <w:p w14:paraId="7FCD420C" w14:textId="77777777" w:rsidR="00CA4063" w:rsidRDefault="00C25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006BBD46" w14:textId="77777777" w:rsidR="00CA4063" w:rsidRDefault="00C259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48E419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4763595E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281 «Публічне управління та адміністрування»</w:t>
      </w:r>
    </w:p>
    <w:p w14:paraId="496838A0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3E5124EC" w14:textId="77777777" w:rsidR="00CA4063" w:rsidRDefault="00C2598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2408F" w14:textId="77777777" w:rsidR="00CA4063" w:rsidRDefault="00C259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53738B16" w14:textId="77777777" w:rsidR="00CA4063" w:rsidRDefault="00C259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12AB9C5E" w14:textId="77777777" w:rsidR="00CA4063" w:rsidRDefault="00C259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5C9A7FAA" w14:textId="77777777" w:rsidR="00CA4063" w:rsidRDefault="00C259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</w:t>
      </w:r>
      <w:r>
        <w:rPr>
          <w:rFonts w:ascii="Times New Roman" w:eastAsia="Times New Roman" w:hAnsi="Times New Roman" w:cs="Times New Roman"/>
          <w:sz w:val="28"/>
          <w:szCs w:val="28"/>
        </w:rPr>
        <w:t>ро освіту» від 05.09.2017 № 2145-VIII. URL : https://zakon.rada.gov.ua/laws/show/2145-19#Text.</w:t>
      </w:r>
    </w:p>
    <w:p w14:paraId="2E207B78" w14:textId="77777777" w:rsidR="00CA4063" w:rsidRDefault="00CA4063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2D74D9" w14:textId="77777777" w:rsidR="00CA4063" w:rsidRDefault="00C259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7DE882E4" w14:textId="77777777" w:rsidR="00CA4063" w:rsidRDefault="00C25988">
      <w:pPr>
        <w:numPr>
          <w:ilvl w:val="0"/>
          <w:numId w:val="2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B1+.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F271C4" w14:textId="77777777" w:rsidR="00CA4063" w:rsidRDefault="00C25988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B1+.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035FAA" w14:textId="77777777" w:rsidR="00CA4063" w:rsidRDefault="00C25988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3F79F970" w14:textId="77777777" w:rsidR="00CA4063" w:rsidRDefault="00C25988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4563211E" w14:textId="77777777" w:rsidR="00CA4063" w:rsidRDefault="00C25988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Gillian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Professional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UK: CUP, 2007. 128 p.;</w:t>
      </w:r>
    </w:p>
    <w:p w14:paraId="06FA572A" w14:textId="77777777" w:rsidR="00CA4063" w:rsidRDefault="00C25988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Rawdon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Wyatt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&amp;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2006. 76 p.;</w:t>
      </w:r>
    </w:p>
    <w:p w14:paraId="4CEEA2E0" w14:textId="77777777" w:rsidR="00CA4063" w:rsidRDefault="00C25988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79EB4330" w14:textId="77777777" w:rsidR="00CA4063" w:rsidRDefault="00C25988">
      <w:pPr>
        <w:numPr>
          <w:ilvl w:val="0"/>
          <w:numId w:val="2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517D8425" w14:textId="77777777" w:rsidR="00CA4063" w:rsidRDefault="00C25988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57435515" w14:textId="77777777" w:rsidR="00CA4063" w:rsidRDefault="00C25988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2005;</w:t>
      </w:r>
    </w:p>
    <w:p w14:paraId="4D23F812" w14:textId="77777777" w:rsidR="00CA4063" w:rsidRDefault="00C25988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2006;</w:t>
      </w:r>
    </w:p>
    <w:p w14:paraId="77F0A486" w14:textId="77777777" w:rsidR="00CA4063" w:rsidRDefault="00C25988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65E4AEA6" w14:textId="77777777" w:rsidR="00CA4063" w:rsidRDefault="00C25988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110D0DD2" w14:textId="77777777" w:rsidR="00CA4063" w:rsidRDefault="00C25988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3CD7D9E7" w14:textId="77777777" w:rsidR="00CA4063" w:rsidRDefault="00C25988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Артеменко Л.О. Практикум з граматики англійської мови : для студентів І курсу нефілологічних спеціальностей. Харків: НУА, 2015. 64 с.</w:t>
      </w:r>
    </w:p>
    <w:p w14:paraId="3FCF37A1" w14:textId="77777777" w:rsidR="00CA4063" w:rsidRDefault="00CA4063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95E49F" w14:textId="77777777" w:rsidR="00CA4063" w:rsidRDefault="00CA406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06608" w14:textId="77777777" w:rsidR="00CA4063" w:rsidRDefault="00C2598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Навчальні посібники, інші дидактичні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 методичні матеріали:</w:t>
      </w:r>
    </w:p>
    <w:p w14:paraId="4306F236" w14:textId="77777777" w:rsidR="00CA4063" w:rsidRDefault="00C25988">
      <w:pPr>
        <w:numPr>
          <w:ilvl w:val="0"/>
          <w:numId w:val="7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7C86C905" w14:textId="77777777" w:rsidR="00CA4063" w:rsidRDefault="00C25988">
      <w:pPr>
        <w:numPr>
          <w:ilvl w:val="0"/>
          <w:numId w:val="7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176 p.;</w:t>
      </w:r>
    </w:p>
    <w:p w14:paraId="59DAC8FD" w14:textId="77777777" w:rsidR="00CA4063" w:rsidRDefault="00C25988">
      <w:pPr>
        <w:numPr>
          <w:ilvl w:val="0"/>
          <w:numId w:val="7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</w:t>
      </w:r>
    </w:p>
    <w:p w14:paraId="395D7BA2" w14:textId="77777777" w:rsidR="00CA4063" w:rsidRDefault="00C25988">
      <w:pPr>
        <w:spacing w:after="240" w:line="240" w:lineRule="auto"/>
        <w:ind w:left="720"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5CDB01" w14:textId="77777777" w:rsidR="00CA4063" w:rsidRDefault="00C25988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4F4A9772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7BA0C155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125E0AC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291E00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708E9D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A1BE1BF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AB02584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29C1D96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A27B4CC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04FBD84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264EC3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EA87891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026118A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com/c/EnglishwithLucy/channels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7BC430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1A220BE1" w14:textId="77777777" w:rsidR="00CA4063" w:rsidRDefault="00C259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272E712F" w14:textId="77777777" w:rsidR="00CA4063" w:rsidRDefault="00C25988">
      <w:pPr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B8E5A0" w14:textId="77777777" w:rsidR="00CA4063" w:rsidRDefault="00C2598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4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CA4063" w14:paraId="0B14CFDC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4E04E4" w14:textId="77777777" w:rsidR="00CA4063" w:rsidRDefault="00CA4063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1E6988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3CC363EB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2EDCFC39" w14:textId="77777777" w:rsidR="00CA4063" w:rsidRDefault="00C25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та соціально-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C4E5FB" w14:textId="77777777" w:rsidR="00CA4063" w:rsidRDefault="00CA4063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2B7AEC5" w14:textId="77777777" w:rsidR="00CA4063" w:rsidRDefault="00C25988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14:paraId="2BB8744A" w14:textId="77777777" w:rsidR="00CA4063" w:rsidRDefault="00CA4063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52019D" w14:textId="77777777" w:rsidR="00CA4063" w:rsidRDefault="00C25988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Олексій ХАЛАПСІС</w:t>
            </w:r>
          </w:p>
        </w:tc>
      </w:tr>
    </w:tbl>
    <w:p w14:paraId="3876ED02" w14:textId="77777777" w:rsidR="00CA4063" w:rsidRDefault="00CA406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CA4063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7017" w14:textId="77777777" w:rsidR="00C25988" w:rsidRDefault="00C25988">
      <w:pPr>
        <w:spacing w:after="0" w:line="240" w:lineRule="auto"/>
      </w:pPr>
      <w:r>
        <w:separator/>
      </w:r>
    </w:p>
  </w:endnote>
  <w:endnote w:type="continuationSeparator" w:id="0">
    <w:p w14:paraId="28D71C08" w14:textId="77777777" w:rsidR="00C25988" w:rsidRDefault="00C2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8A5D" w14:textId="77777777" w:rsidR="00C25988" w:rsidRDefault="00C25988">
      <w:pPr>
        <w:spacing w:after="0" w:line="240" w:lineRule="auto"/>
      </w:pPr>
      <w:r>
        <w:separator/>
      </w:r>
    </w:p>
  </w:footnote>
  <w:footnote w:type="continuationSeparator" w:id="0">
    <w:p w14:paraId="018293BB" w14:textId="77777777" w:rsidR="00C25988" w:rsidRDefault="00C2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3D30" w14:textId="77777777" w:rsidR="00CA4063" w:rsidRDefault="00CA4063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4DF"/>
    <w:multiLevelType w:val="multilevel"/>
    <w:tmpl w:val="5074FC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1F6816"/>
    <w:multiLevelType w:val="multilevel"/>
    <w:tmpl w:val="D8780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DF4EDD"/>
    <w:multiLevelType w:val="multilevel"/>
    <w:tmpl w:val="6848F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396E03"/>
    <w:multiLevelType w:val="multilevel"/>
    <w:tmpl w:val="96D27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E0E63"/>
    <w:multiLevelType w:val="multilevel"/>
    <w:tmpl w:val="4FF871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BB40FF"/>
    <w:multiLevelType w:val="multilevel"/>
    <w:tmpl w:val="5F4A3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3B6AD7"/>
    <w:multiLevelType w:val="multilevel"/>
    <w:tmpl w:val="10444C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DB69D5"/>
    <w:multiLevelType w:val="multilevel"/>
    <w:tmpl w:val="A13AC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364EEB"/>
    <w:multiLevelType w:val="multilevel"/>
    <w:tmpl w:val="B2F60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E33CD0"/>
    <w:multiLevelType w:val="multilevel"/>
    <w:tmpl w:val="6C8EF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FD43C3"/>
    <w:multiLevelType w:val="multilevel"/>
    <w:tmpl w:val="94B45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63"/>
    <w:rsid w:val="00C25988"/>
    <w:rsid w:val="00CA4063"/>
    <w:rsid w:val="00F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E4AC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gvwgsAtFEhp22j1lRoJjHIyc2g==">CgMxLjA4AGokChRzdWdnZXN0Lm9xdHhnb3R1c2g5dBIMSW5uYSBLb3p1YmFpaiQKFHN1Z2dlc3QuMmNnMzl5NnFscTM2EgxJbm5hIEtvenViYWlqJAoUc3VnZ2VzdC4yNWd4b3o5YW5uZ2kSDElubmEgS296dWJhaWokChRzdWdnZXN0LnRmYm84Z2xhZ3VhMBIMSW5uYSBLb3p1YmFpciExWWhHLXpOLUtzaXhIQjlFWldMNFpDRE0zcTZTcm1CVHU=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22292</Words>
  <Characters>12707</Characters>
  <Application>Microsoft Office Word</Application>
  <DocSecurity>0</DocSecurity>
  <Lines>105</Lines>
  <Paragraphs>69</Paragraphs>
  <ScaleCrop>false</ScaleCrop>
  <Company/>
  <LinksUpToDate>false</LinksUpToDate>
  <CharactersWithSpaces>34930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3</cp:revision>
  <dcterms:created xsi:type="dcterms:W3CDTF">2023-08-18T16:43:00Z</dcterms:created>
  <dcterms:modified xsi:type="dcterms:W3CDTF">2023-11-06T19:20:00Z</dcterms:modified>
</cp:coreProperties>
</file>